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0FFE3" w14:textId="09176A52" w:rsidR="006C377E" w:rsidRPr="00C13C15" w:rsidRDefault="00EC7CD2" w:rsidP="00D53B3B">
      <w:pPr>
        <w:rPr>
          <w:rFonts w:ascii="Arial" w:hAnsi="Arial" w:cs="Arial"/>
          <w:b/>
          <w:sz w:val="40"/>
          <w:szCs w:val="40"/>
        </w:rPr>
      </w:pPr>
      <w:r>
        <w:rPr>
          <w:rFonts w:ascii="Arial" w:hAnsi="Arial" w:cs="Arial"/>
          <w:b/>
          <w:sz w:val="40"/>
          <w:szCs w:val="40"/>
        </w:rPr>
        <w:t>September</w:t>
      </w:r>
      <w:r w:rsidR="00DB3373" w:rsidRPr="00C13C15">
        <w:rPr>
          <w:rFonts w:ascii="Arial" w:hAnsi="Arial" w:cs="Arial"/>
          <w:b/>
          <w:sz w:val="40"/>
          <w:szCs w:val="40"/>
        </w:rPr>
        <w:t xml:space="preserve"> 2018 </w:t>
      </w:r>
      <w:r w:rsidR="006C377E" w:rsidRPr="00C13C15">
        <w:rPr>
          <w:rFonts w:ascii="Arial" w:hAnsi="Arial" w:cs="Arial"/>
          <w:b/>
          <w:sz w:val="40"/>
          <w:szCs w:val="40"/>
        </w:rPr>
        <w:t>quarter</w:t>
      </w:r>
      <w:r w:rsidR="006C377E" w:rsidRPr="00C13C15">
        <w:rPr>
          <w:rFonts w:ascii="Arial" w:hAnsi="Arial" w:cs="Arial"/>
          <w:b/>
          <w:sz w:val="40"/>
          <w:szCs w:val="40"/>
        </w:rPr>
        <w:br/>
      </w:r>
      <w:r w:rsidR="00DF69BD" w:rsidRPr="00C13C15">
        <w:rPr>
          <w:rFonts w:ascii="Arial" w:hAnsi="Arial" w:cs="Arial"/>
          <w:b/>
          <w:sz w:val="40"/>
          <w:szCs w:val="40"/>
        </w:rPr>
        <w:t>Consumer</w:t>
      </w:r>
      <w:r w:rsidR="006C377E" w:rsidRPr="00C13C15">
        <w:rPr>
          <w:rFonts w:ascii="Arial" w:hAnsi="Arial" w:cs="Arial"/>
          <w:b/>
          <w:sz w:val="40"/>
          <w:szCs w:val="40"/>
        </w:rPr>
        <w:t xml:space="preserve"> Price Index</w:t>
      </w:r>
      <w:r w:rsidR="0077518E" w:rsidRPr="00C13C15">
        <w:rPr>
          <w:rFonts w:ascii="Arial" w:hAnsi="Arial" w:cs="Arial"/>
          <w:b/>
          <w:sz w:val="40"/>
          <w:szCs w:val="40"/>
        </w:rPr>
        <w:t xml:space="preserve"> of Tokelau</w:t>
      </w:r>
    </w:p>
    <w:p w14:paraId="1DA9BD4A" w14:textId="77777777" w:rsidR="000A395E" w:rsidRPr="00C13C15" w:rsidRDefault="000A395E" w:rsidP="0045739B">
      <w:pPr>
        <w:pStyle w:val="Heading2"/>
        <w:rPr>
          <w:sz w:val="26"/>
          <w:szCs w:val="26"/>
          <w:shd w:val="clear" w:color="auto" w:fill="FFFFFF"/>
        </w:rPr>
      </w:pPr>
    </w:p>
    <w:p w14:paraId="47D258BE" w14:textId="6903CBD8" w:rsidR="006C377E" w:rsidRPr="00C13C15" w:rsidRDefault="006C377E" w:rsidP="0045739B">
      <w:pPr>
        <w:pStyle w:val="Heading2"/>
        <w:rPr>
          <w:sz w:val="26"/>
          <w:szCs w:val="26"/>
        </w:rPr>
      </w:pPr>
      <w:r w:rsidRPr="00C13C15">
        <w:rPr>
          <w:sz w:val="26"/>
          <w:szCs w:val="26"/>
          <w:shd w:val="clear" w:color="auto" w:fill="FFFFFF"/>
        </w:rPr>
        <w:t>Key facts</w:t>
      </w:r>
    </w:p>
    <w:p w14:paraId="6BA358F2" w14:textId="2D8ACC4A" w:rsidR="006C377E" w:rsidRPr="00C13C15" w:rsidRDefault="006C377E" w:rsidP="005A6D77">
      <w:pPr>
        <w:pStyle w:val="NormalWeb"/>
        <w:spacing w:before="0" w:beforeAutospacing="0" w:after="0" w:afterAutospacing="0"/>
        <w:rPr>
          <w:rFonts w:ascii="Arial" w:hAnsi="Arial" w:cs="Arial"/>
          <w:color w:val="000000"/>
          <w:sz w:val="21"/>
          <w:szCs w:val="21"/>
          <w:lang w:val="en-AU"/>
        </w:rPr>
      </w:pPr>
      <w:r w:rsidRPr="00C13C15">
        <w:rPr>
          <w:rFonts w:ascii="Arial" w:hAnsi="Arial" w:cs="Arial"/>
          <w:color w:val="000000"/>
          <w:sz w:val="21"/>
          <w:szCs w:val="21"/>
          <w:lang w:val="en-AU"/>
        </w:rPr>
        <w:t xml:space="preserve">In the </w:t>
      </w:r>
      <w:r w:rsidR="00EC7CD2">
        <w:rPr>
          <w:rFonts w:ascii="Arial" w:hAnsi="Arial" w:cs="Arial"/>
          <w:color w:val="000000"/>
          <w:sz w:val="21"/>
          <w:szCs w:val="21"/>
          <w:lang w:val="en-AU"/>
        </w:rPr>
        <w:t>September</w:t>
      </w:r>
      <w:r w:rsidR="00DB3373" w:rsidRPr="00C13C15">
        <w:rPr>
          <w:rFonts w:ascii="Arial" w:hAnsi="Arial" w:cs="Arial"/>
          <w:color w:val="000000"/>
          <w:sz w:val="21"/>
          <w:szCs w:val="21"/>
          <w:lang w:val="en-AU"/>
        </w:rPr>
        <w:t xml:space="preserve"> 2018</w:t>
      </w:r>
      <w:r w:rsidR="003E66C5" w:rsidRPr="00C13C15">
        <w:rPr>
          <w:rFonts w:ascii="Arial" w:hAnsi="Arial" w:cs="Arial"/>
          <w:color w:val="000000"/>
          <w:sz w:val="21"/>
          <w:szCs w:val="21"/>
          <w:lang w:val="en-AU"/>
        </w:rPr>
        <w:t xml:space="preserve"> </w:t>
      </w:r>
      <w:r w:rsidRPr="00C13C15">
        <w:rPr>
          <w:rFonts w:ascii="Arial" w:hAnsi="Arial" w:cs="Arial"/>
          <w:color w:val="000000"/>
          <w:sz w:val="21"/>
          <w:szCs w:val="21"/>
          <w:lang w:val="en-AU"/>
        </w:rPr>
        <w:t xml:space="preserve">quarter compared with the </w:t>
      </w:r>
      <w:r w:rsidR="00EC7CD2">
        <w:rPr>
          <w:rFonts w:ascii="Arial" w:hAnsi="Arial" w:cs="Arial"/>
          <w:color w:val="000000"/>
          <w:sz w:val="21"/>
          <w:szCs w:val="21"/>
          <w:lang w:val="en-AU"/>
        </w:rPr>
        <w:t>June</w:t>
      </w:r>
      <w:r w:rsidR="00DB3373" w:rsidRPr="00C13C15">
        <w:rPr>
          <w:rFonts w:ascii="Arial" w:hAnsi="Arial" w:cs="Arial"/>
          <w:color w:val="000000"/>
          <w:sz w:val="21"/>
          <w:szCs w:val="21"/>
          <w:lang w:val="en-AU"/>
        </w:rPr>
        <w:t xml:space="preserve"> </w:t>
      </w:r>
      <w:r w:rsidR="0053741C" w:rsidRPr="00C13C15">
        <w:rPr>
          <w:rFonts w:ascii="Arial" w:hAnsi="Arial" w:cs="Arial"/>
          <w:color w:val="000000"/>
          <w:sz w:val="21"/>
          <w:szCs w:val="21"/>
          <w:lang w:val="en-AU"/>
        </w:rPr>
        <w:t>201</w:t>
      </w:r>
      <w:r w:rsidR="00182B66">
        <w:rPr>
          <w:rFonts w:ascii="Arial" w:hAnsi="Arial" w:cs="Arial"/>
          <w:color w:val="000000"/>
          <w:sz w:val="21"/>
          <w:szCs w:val="21"/>
          <w:lang w:val="en-AU"/>
        </w:rPr>
        <w:t>8</w:t>
      </w:r>
      <w:r w:rsidRPr="00C13C15">
        <w:rPr>
          <w:rFonts w:ascii="Arial" w:hAnsi="Arial" w:cs="Arial"/>
          <w:color w:val="000000"/>
          <w:sz w:val="21"/>
          <w:szCs w:val="21"/>
          <w:lang w:val="en-AU"/>
        </w:rPr>
        <w:t xml:space="preserve"> quarter: </w:t>
      </w:r>
    </w:p>
    <w:p w14:paraId="2540772F" w14:textId="3B0EC19F" w:rsidR="008E5D63" w:rsidRPr="009F0D08" w:rsidRDefault="006C377E" w:rsidP="003B5CDC">
      <w:pPr>
        <w:pStyle w:val="NormalWeb"/>
        <w:numPr>
          <w:ilvl w:val="0"/>
          <w:numId w:val="1"/>
        </w:numPr>
        <w:spacing w:before="0" w:beforeAutospacing="0"/>
        <w:ind w:left="714" w:hanging="357"/>
        <w:rPr>
          <w:rFonts w:ascii="Arial" w:hAnsi="Arial" w:cs="Arial"/>
          <w:color w:val="000000"/>
          <w:sz w:val="21"/>
          <w:szCs w:val="21"/>
          <w:lang w:val="en-AU"/>
        </w:rPr>
      </w:pPr>
      <w:r w:rsidRPr="00C13C15">
        <w:rPr>
          <w:rFonts w:ascii="Arial" w:hAnsi="Arial" w:cs="Arial"/>
          <w:color w:val="000000"/>
          <w:sz w:val="21"/>
          <w:szCs w:val="21"/>
          <w:lang w:val="en-AU"/>
        </w:rPr>
        <w:t xml:space="preserve">The </w:t>
      </w:r>
      <w:r w:rsidR="006F6B1C" w:rsidRPr="00C13C15">
        <w:rPr>
          <w:rFonts w:ascii="Arial" w:hAnsi="Arial" w:cs="Arial"/>
          <w:color w:val="000000"/>
          <w:sz w:val="21"/>
          <w:szCs w:val="21"/>
          <w:lang w:val="en-AU"/>
        </w:rPr>
        <w:t>c</w:t>
      </w:r>
      <w:r w:rsidR="00DF69BD" w:rsidRPr="00C13C15">
        <w:rPr>
          <w:rFonts w:ascii="Arial" w:hAnsi="Arial" w:cs="Arial"/>
          <w:color w:val="000000"/>
          <w:sz w:val="21"/>
          <w:szCs w:val="21"/>
          <w:lang w:val="en-AU"/>
        </w:rPr>
        <w:t>onsumer</w:t>
      </w:r>
      <w:r w:rsidRPr="00C13C15">
        <w:rPr>
          <w:rFonts w:ascii="Arial" w:hAnsi="Arial" w:cs="Arial"/>
          <w:color w:val="000000"/>
          <w:sz w:val="21"/>
          <w:szCs w:val="21"/>
          <w:lang w:val="en-AU"/>
        </w:rPr>
        <w:t xml:space="preserve"> price index (CPI)</w:t>
      </w:r>
      <w:r w:rsidR="003E66C5" w:rsidRPr="009F0D08">
        <w:rPr>
          <w:rFonts w:ascii="Arial" w:hAnsi="Arial" w:cs="Arial"/>
          <w:color w:val="000000"/>
          <w:sz w:val="21"/>
          <w:szCs w:val="21"/>
          <w:lang w:val="en-AU"/>
        </w:rPr>
        <w:t xml:space="preserve"> </w:t>
      </w:r>
      <w:r w:rsidR="00EC7CD2">
        <w:rPr>
          <w:rFonts w:ascii="Arial" w:hAnsi="Arial" w:cs="Arial"/>
          <w:color w:val="000000"/>
          <w:sz w:val="21"/>
          <w:szCs w:val="21"/>
          <w:lang w:val="en-AU"/>
        </w:rPr>
        <w:t>rose</w:t>
      </w:r>
      <w:r w:rsidR="00F835AD" w:rsidRPr="009F0D08">
        <w:rPr>
          <w:rFonts w:ascii="Arial" w:hAnsi="Arial" w:cs="Arial"/>
          <w:color w:val="000000"/>
          <w:sz w:val="21"/>
          <w:szCs w:val="21"/>
          <w:lang w:val="en-AU"/>
        </w:rPr>
        <w:t xml:space="preserve"> </w:t>
      </w:r>
      <w:r w:rsidR="006C2477" w:rsidRPr="00170FDC">
        <w:rPr>
          <w:rFonts w:ascii="Arial" w:hAnsi="Arial" w:cs="Arial"/>
          <w:color w:val="000000"/>
          <w:sz w:val="21"/>
          <w:szCs w:val="21"/>
          <w:lang w:val="en-AU"/>
        </w:rPr>
        <w:t>4</w:t>
      </w:r>
      <w:r w:rsidR="00E5444D" w:rsidRPr="006C2477">
        <w:rPr>
          <w:rFonts w:ascii="Arial" w:hAnsi="Arial" w:cs="Arial"/>
          <w:color w:val="000000"/>
          <w:sz w:val="21"/>
          <w:szCs w:val="21"/>
          <w:lang w:val="en-AU"/>
        </w:rPr>
        <w:t>.</w:t>
      </w:r>
      <w:r w:rsidR="00FA6E1C">
        <w:rPr>
          <w:rFonts w:ascii="Arial" w:hAnsi="Arial" w:cs="Arial"/>
          <w:color w:val="000000"/>
          <w:sz w:val="21"/>
          <w:szCs w:val="21"/>
          <w:lang w:val="en-AU"/>
        </w:rPr>
        <w:t>2</w:t>
      </w:r>
      <w:r w:rsidR="000C2CB2" w:rsidRPr="009F0D08">
        <w:rPr>
          <w:rFonts w:ascii="Arial" w:hAnsi="Arial" w:cs="Arial"/>
          <w:color w:val="000000"/>
          <w:sz w:val="21"/>
          <w:szCs w:val="21"/>
          <w:lang w:val="en-AU"/>
        </w:rPr>
        <w:t xml:space="preserve"> </w:t>
      </w:r>
      <w:r w:rsidR="009C34AA" w:rsidRPr="009F0D08">
        <w:rPr>
          <w:rFonts w:ascii="Arial" w:hAnsi="Arial" w:cs="Arial"/>
          <w:color w:val="000000"/>
          <w:sz w:val="21"/>
          <w:szCs w:val="21"/>
          <w:lang w:val="en-AU"/>
        </w:rPr>
        <w:t>percent</w:t>
      </w:r>
      <w:r w:rsidR="00F92412" w:rsidRPr="009F0D08">
        <w:rPr>
          <w:rFonts w:ascii="Arial" w:hAnsi="Arial" w:cs="Arial"/>
          <w:color w:val="000000"/>
          <w:sz w:val="21"/>
          <w:szCs w:val="21"/>
          <w:lang w:val="en-AU"/>
        </w:rPr>
        <w:t>.</w:t>
      </w:r>
    </w:p>
    <w:p w14:paraId="328FCA79" w14:textId="2F553FFF" w:rsidR="005E08F0" w:rsidRPr="001075D1" w:rsidRDefault="003A7706" w:rsidP="009F0D08">
      <w:pPr>
        <w:pStyle w:val="NormalWeb"/>
        <w:numPr>
          <w:ilvl w:val="0"/>
          <w:numId w:val="1"/>
        </w:numPr>
        <w:spacing w:before="0" w:beforeAutospacing="0"/>
        <w:ind w:left="714" w:hanging="357"/>
        <w:rPr>
          <w:rFonts w:ascii="Arial" w:hAnsi="Arial" w:cs="Arial"/>
          <w:color w:val="000000"/>
          <w:sz w:val="21"/>
          <w:szCs w:val="21"/>
          <w:lang w:val="en-AU"/>
        </w:rPr>
      </w:pPr>
      <w:r w:rsidRPr="009F0D08">
        <w:rPr>
          <w:rFonts w:ascii="Arial" w:hAnsi="Arial" w:cs="Arial"/>
          <w:color w:val="000000"/>
          <w:sz w:val="21"/>
          <w:szCs w:val="21"/>
          <w:lang w:val="en-AU"/>
        </w:rPr>
        <w:t xml:space="preserve">The largest </w:t>
      </w:r>
      <w:r w:rsidR="00E5444D">
        <w:rPr>
          <w:rFonts w:ascii="Arial" w:hAnsi="Arial" w:cs="Arial"/>
          <w:color w:val="000000"/>
          <w:sz w:val="21"/>
          <w:szCs w:val="21"/>
          <w:lang w:val="en-AU"/>
        </w:rPr>
        <w:t>upward change</w:t>
      </w:r>
      <w:r w:rsidRPr="009F0D08">
        <w:rPr>
          <w:rFonts w:ascii="Arial" w:hAnsi="Arial" w:cs="Arial"/>
          <w:color w:val="000000"/>
          <w:sz w:val="21"/>
          <w:szCs w:val="21"/>
          <w:lang w:val="en-AU"/>
        </w:rPr>
        <w:t xml:space="preserve"> in </w:t>
      </w:r>
      <w:r w:rsidR="001A270E">
        <w:rPr>
          <w:rFonts w:ascii="Arial" w:hAnsi="Arial" w:cs="Arial"/>
          <w:color w:val="000000"/>
          <w:sz w:val="21"/>
          <w:szCs w:val="21"/>
          <w:lang w:val="en-AU"/>
        </w:rPr>
        <w:t>p</w:t>
      </w:r>
      <w:r w:rsidR="00602DC1" w:rsidRPr="009F0D08">
        <w:rPr>
          <w:rFonts w:ascii="Arial" w:hAnsi="Arial" w:cs="Arial"/>
          <w:color w:val="000000"/>
          <w:sz w:val="21"/>
          <w:szCs w:val="21"/>
          <w:lang w:val="en-AU"/>
        </w:rPr>
        <w:t xml:space="preserve">rices </w:t>
      </w:r>
      <w:r w:rsidRPr="009F0D08">
        <w:rPr>
          <w:rFonts w:ascii="Arial" w:hAnsi="Arial" w:cs="Arial"/>
          <w:color w:val="000000"/>
          <w:sz w:val="21"/>
          <w:szCs w:val="21"/>
          <w:lang w:val="en-AU"/>
        </w:rPr>
        <w:t xml:space="preserve">this quarter is by </w:t>
      </w:r>
      <w:r w:rsidR="00FD7238">
        <w:rPr>
          <w:rFonts w:ascii="Arial" w:hAnsi="Arial" w:cs="Arial"/>
          <w:color w:val="000000"/>
          <w:sz w:val="21"/>
          <w:szCs w:val="21"/>
          <w:lang w:val="en-AU"/>
        </w:rPr>
        <w:t xml:space="preserve">the </w:t>
      </w:r>
      <w:r w:rsidR="006C2477">
        <w:rPr>
          <w:rFonts w:ascii="Arial" w:hAnsi="Arial" w:cs="Arial"/>
          <w:color w:val="000000"/>
          <w:sz w:val="21"/>
          <w:szCs w:val="21"/>
          <w:lang w:val="en-AU"/>
        </w:rPr>
        <w:t>Alcoholic beverages</w:t>
      </w:r>
      <w:r w:rsidR="007F2C6B">
        <w:rPr>
          <w:rFonts w:ascii="Arial" w:hAnsi="Arial" w:cs="Arial"/>
          <w:color w:val="000000"/>
          <w:sz w:val="21"/>
          <w:szCs w:val="21"/>
          <w:lang w:val="en-AU"/>
        </w:rPr>
        <w:t xml:space="preserve"> </w:t>
      </w:r>
      <w:r w:rsidR="00E5444D">
        <w:rPr>
          <w:rFonts w:ascii="Arial" w:hAnsi="Arial" w:cs="Arial"/>
          <w:color w:val="000000"/>
          <w:sz w:val="21"/>
          <w:szCs w:val="21"/>
          <w:lang w:val="en-AU"/>
        </w:rPr>
        <w:t xml:space="preserve">and </w:t>
      </w:r>
      <w:r w:rsidR="007F2C6B">
        <w:rPr>
          <w:rFonts w:ascii="Arial" w:hAnsi="Arial" w:cs="Arial"/>
          <w:color w:val="000000"/>
          <w:sz w:val="21"/>
          <w:szCs w:val="21"/>
          <w:lang w:val="en-AU"/>
        </w:rPr>
        <w:t>tobacco</w:t>
      </w:r>
      <w:r w:rsidR="00425546" w:rsidRPr="009F0D08">
        <w:rPr>
          <w:rFonts w:ascii="Arial" w:hAnsi="Arial" w:cs="Arial"/>
          <w:color w:val="000000"/>
          <w:sz w:val="21"/>
          <w:szCs w:val="21"/>
          <w:lang w:val="en-AU"/>
        </w:rPr>
        <w:t xml:space="preserve"> group </w:t>
      </w:r>
      <w:r w:rsidR="001075D1">
        <w:rPr>
          <w:rFonts w:ascii="Arial" w:hAnsi="Arial" w:cs="Arial"/>
          <w:color w:val="000000"/>
          <w:sz w:val="21"/>
          <w:szCs w:val="21"/>
          <w:lang w:val="en-AU"/>
        </w:rPr>
        <w:t xml:space="preserve">which </w:t>
      </w:r>
      <w:r w:rsidR="00E5444D">
        <w:rPr>
          <w:rFonts w:ascii="Arial" w:hAnsi="Arial" w:cs="Arial"/>
          <w:color w:val="000000"/>
          <w:sz w:val="21"/>
          <w:szCs w:val="21"/>
          <w:lang w:val="en-AU"/>
        </w:rPr>
        <w:t xml:space="preserve">rose </w:t>
      </w:r>
      <w:r w:rsidR="00E5444D" w:rsidRPr="007F2C6B">
        <w:rPr>
          <w:rFonts w:ascii="Arial" w:hAnsi="Arial" w:cs="Arial"/>
          <w:color w:val="000000"/>
          <w:sz w:val="21"/>
          <w:szCs w:val="21"/>
          <w:lang w:val="en-AU"/>
        </w:rPr>
        <w:t>1</w:t>
      </w:r>
      <w:r w:rsidR="007F2C6B" w:rsidRPr="00170FDC">
        <w:rPr>
          <w:rFonts w:ascii="Arial" w:hAnsi="Arial" w:cs="Arial"/>
          <w:color w:val="000000"/>
          <w:sz w:val="21"/>
          <w:szCs w:val="21"/>
          <w:lang w:val="en-AU"/>
        </w:rPr>
        <w:t>2</w:t>
      </w:r>
      <w:r w:rsidR="00E5444D" w:rsidRPr="007F2C6B">
        <w:rPr>
          <w:rFonts w:ascii="Arial" w:hAnsi="Arial" w:cs="Arial"/>
          <w:color w:val="000000"/>
          <w:sz w:val="21"/>
          <w:szCs w:val="21"/>
          <w:lang w:val="en-AU"/>
        </w:rPr>
        <w:t>.</w:t>
      </w:r>
      <w:r w:rsidR="007F2C6B" w:rsidRPr="00170FDC">
        <w:rPr>
          <w:rFonts w:ascii="Arial" w:hAnsi="Arial" w:cs="Arial"/>
          <w:color w:val="000000"/>
          <w:sz w:val="21"/>
          <w:szCs w:val="21"/>
          <w:lang w:val="en-AU"/>
        </w:rPr>
        <w:t>1</w:t>
      </w:r>
      <w:r w:rsidR="005E08F0" w:rsidRPr="009F0D08">
        <w:rPr>
          <w:rFonts w:ascii="Arial" w:hAnsi="Arial" w:cs="Arial"/>
          <w:color w:val="000000"/>
          <w:sz w:val="21"/>
          <w:szCs w:val="21"/>
          <w:lang w:val="en-AU"/>
        </w:rPr>
        <w:t xml:space="preserve"> percent</w:t>
      </w:r>
      <w:r w:rsidR="00015C7C" w:rsidRPr="009F0D08">
        <w:rPr>
          <w:rFonts w:ascii="Arial" w:hAnsi="Arial" w:cs="Arial"/>
          <w:color w:val="000000"/>
          <w:sz w:val="21"/>
          <w:szCs w:val="21"/>
          <w:lang w:val="en-AU"/>
        </w:rPr>
        <w:t>, contributing</w:t>
      </w:r>
      <w:r w:rsidR="005E08F0" w:rsidRPr="009F0D08">
        <w:rPr>
          <w:rFonts w:ascii="Arial" w:hAnsi="Arial" w:cs="Arial"/>
          <w:color w:val="000000"/>
          <w:sz w:val="21"/>
          <w:szCs w:val="21"/>
          <w:lang w:val="en-AU"/>
        </w:rPr>
        <w:t xml:space="preserve"> </w:t>
      </w:r>
      <w:r w:rsidR="007F2C6B" w:rsidRPr="00170FDC">
        <w:rPr>
          <w:rFonts w:ascii="Arial" w:hAnsi="Arial" w:cs="Arial"/>
          <w:color w:val="000000"/>
          <w:sz w:val="21"/>
          <w:szCs w:val="21"/>
          <w:lang w:val="en-AU"/>
        </w:rPr>
        <w:t>3</w:t>
      </w:r>
      <w:r w:rsidR="00E5444D" w:rsidRPr="007F2C6B">
        <w:rPr>
          <w:rFonts w:ascii="Arial" w:hAnsi="Arial" w:cs="Arial"/>
          <w:color w:val="000000"/>
          <w:sz w:val="21"/>
          <w:szCs w:val="21"/>
          <w:lang w:val="en-AU"/>
        </w:rPr>
        <w:t>.</w:t>
      </w:r>
      <w:r w:rsidR="007F2C6B" w:rsidRPr="00170FDC">
        <w:rPr>
          <w:rFonts w:ascii="Arial" w:hAnsi="Arial" w:cs="Arial"/>
          <w:color w:val="000000"/>
          <w:sz w:val="21"/>
          <w:szCs w:val="21"/>
          <w:lang w:val="en-AU"/>
        </w:rPr>
        <w:t>7</w:t>
      </w:r>
      <w:r w:rsidR="005E08F0" w:rsidRPr="009F0D08">
        <w:rPr>
          <w:rFonts w:ascii="Arial" w:hAnsi="Arial" w:cs="Arial"/>
          <w:color w:val="000000"/>
          <w:sz w:val="21"/>
          <w:szCs w:val="21"/>
          <w:lang w:val="en-AU"/>
        </w:rPr>
        <w:t xml:space="preserve"> </w:t>
      </w:r>
      <w:r w:rsidR="00015C7C" w:rsidRPr="009F0D08">
        <w:rPr>
          <w:rFonts w:ascii="Arial" w:hAnsi="Arial" w:cs="Arial"/>
          <w:color w:val="000000"/>
          <w:sz w:val="21"/>
          <w:szCs w:val="21"/>
          <w:lang w:val="en-AU"/>
        </w:rPr>
        <w:t>percent to CPI</w:t>
      </w:r>
      <w:r w:rsidR="00BF7A18" w:rsidRPr="009F0D08">
        <w:rPr>
          <w:rFonts w:ascii="Arial" w:hAnsi="Arial" w:cs="Arial"/>
          <w:color w:val="000000"/>
          <w:sz w:val="21"/>
          <w:szCs w:val="21"/>
          <w:lang w:val="en-AU"/>
        </w:rPr>
        <w:t>.</w:t>
      </w:r>
    </w:p>
    <w:p w14:paraId="54518E20" w14:textId="32408EC6" w:rsidR="00F35AD5" w:rsidRPr="00F35AD5" w:rsidRDefault="005E08F0">
      <w:pPr>
        <w:pStyle w:val="NormalWeb"/>
        <w:numPr>
          <w:ilvl w:val="0"/>
          <w:numId w:val="1"/>
        </w:numPr>
        <w:spacing w:before="0" w:beforeAutospacing="0"/>
        <w:ind w:left="714" w:hanging="357"/>
        <w:rPr>
          <w:rFonts w:ascii="Arial" w:hAnsi="Arial" w:cs="Arial"/>
          <w:color w:val="000000"/>
          <w:sz w:val="21"/>
          <w:szCs w:val="21"/>
          <w:lang w:val="en-AU"/>
        </w:rPr>
      </w:pPr>
      <w:r>
        <w:rPr>
          <w:rFonts w:ascii="Arial" w:hAnsi="Arial" w:cs="Arial"/>
          <w:color w:val="000000"/>
          <w:sz w:val="21"/>
          <w:szCs w:val="21"/>
          <w:lang w:val="en-AU"/>
        </w:rPr>
        <w:t xml:space="preserve">The </w:t>
      </w:r>
      <w:r w:rsidR="007F2C6B">
        <w:rPr>
          <w:rFonts w:ascii="Arial" w:hAnsi="Arial" w:cs="Arial"/>
          <w:color w:val="000000"/>
          <w:sz w:val="21"/>
          <w:szCs w:val="21"/>
          <w:lang w:val="en-AU"/>
        </w:rPr>
        <w:t>Food and non-a</w:t>
      </w:r>
      <w:r w:rsidR="00E5444D">
        <w:rPr>
          <w:rFonts w:ascii="Arial" w:hAnsi="Arial" w:cs="Arial"/>
          <w:color w:val="000000"/>
          <w:sz w:val="21"/>
          <w:szCs w:val="21"/>
          <w:lang w:val="en-AU"/>
        </w:rPr>
        <w:t xml:space="preserve">lcoholic beverages </w:t>
      </w:r>
      <w:r>
        <w:rPr>
          <w:rFonts w:ascii="Arial" w:hAnsi="Arial" w:cs="Arial"/>
          <w:color w:val="000000"/>
          <w:sz w:val="21"/>
          <w:szCs w:val="21"/>
          <w:lang w:val="en-AU"/>
        </w:rPr>
        <w:t xml:space="preserve">group prices </w:t>
      </w:r>
      <w:r w:rsidR="00E5444D">
        <w:rPr>
          <w:rFonts w:ascii="Arial" w:hAnsi="Arial" w:cs="Arial"/>
          <w:color w:val="000000"/>
          <w:sz w:val="21"/>
          <w:szCs w:val="21"/>
          <w:lang w:val="en-AU"/>
        </w:rPr>
        <w:t>rose</w:t>
      </w:r>
      <w:r>
        <w:rPr>
          <w:rFonts w:ascii="Arial" w:hAnsi="Arial" w:cs="Arial"/>
          <w:color w:val="000000"/>
          <w:sz w:val="21"/>
          <w:szCs w:val="21"/>
          <w:lang w:val="en-AU"/>
        </w:rPr>
        <w:t xml:space="preserve"> </w:t>
      </w:r>
      <w:r w:rsidR="00FA6E1C">
        <w:rPr>
          <w:rFonts w:ascii="Arial" w:hAnsi="Arial" w:cs="Arial"/>
          <w:color w:val="000000"/>
          <w:sz w:val="21"/>
          <w:szCs w:val="21"/>
        </w:rPr>
        <w:t>5</w:t>
      </w:r>
      <w:r w:rsidR="00E5444D" w:rsidRPr="007F2C6B">
        <w:rPr>
          <w:rFonts w:ascii="Arial" w:hAnsi="Arial" w:cs="Arial"/>
          <w:color w:val="000000"/>
          <w:sz w:val="21"/>
          <w:szCs w:val="21"/>
          <w:lang w:val="en-AU"/>
        </w:rPr>
        <w:t>.</w:t>
      </w:r>
      <w:r w:rsidR="00FA6E1C">
        <w:rPr>
          <w:rFonts w:ascii="Arial" w:hAnsi="Arial" w:cs="Arial"/>
          <w:color w:val="000000"/>
          <w:sz w:val="21"/>
          <w:szCs w:val="21"/>
          <w:lang w:val="en-AU"/>
        </w:rPr>
        <w:t>5</w:t>
      </w:r>
      <w:r w:rsidR="00E53A72">
        <w:rPr>
          <w:rFonts w:ascii="Arial" w:hAnsi="Arial" w:cs="Arial"/>
          <w:color w:val="000000"/>
          <w:sz w:val="21"/>
          <w:szCs w:val="21"/>
          <w:lang w:val="en-AU"/>
        </w:rPr>
        <w:t xml:space="preserve"> percent, contributing </w:t>
      </w:r>
      <w:r w:rsidR="00FA6E1C">
        <w:rPr>
          <w:rFonts w:ascii="Arial" w:hAnsi="Arial" w:cs="Arial"/>
          <w:color w:val="000000"/>
          <w:sz w:val="21"/>
          <w:szCs w:val="21"/>
        </w:rPr>
        <w:t>1</w:t>
      </w:r>
      <w:r w:rsidR="00E5444D" w:rsidRPr="007F2C6B">
        <w:rPr>
          <w:rFonts w:ascii="Arial" w:hAnsi="Arial" w:cs="Arial"/>
          <w:color w:val="000000"/>
          <w:sz w:val="21"/>
          <w:szCs w:val="21"/>
          <w:lang w:val="en-AU"/>
        </w:rPr>
        <w:t>.</w:t>
      </w:r>
      <w:r w:rsidR="00FA6E1C">
        <w:rPr>
          <w:rFonts w:ascii="Arial" w:hAnsi="Arial" w:cs="Arial"/>
          <w:color w:val="000000"/>
          <w:sz w:val="21"/>
          <w:szCs w:val="21"/>
          <w:lang w:val="en-AU"/>
        </w:rPr>
        <w:t>8</w:t>
      </w:r>
      <w:r w:rsidR="00E53A72">
        <w:rPr>
          <w:rFonts w:ascii="Arial" w:hAnsi="Arial" w:cs="Arial"/>
          <w:color w:val="000000"/>
          <w:sz w:val="21"/>
          <w:szCs w:val="21"/>
          <w:lang w:val="en-AU"/>
        </w:rPr>
        <w:t xml:space="preserve"> percent to CPI.</w:t>
      </w:r>
    </w:p>
    <w:p w14:paraId="44A67E1D" w14:textId="16D49CD8" w:rsidR="00F35AD5" w:rsidRPr="00F35AD5" w:rsidRDefault="00015C7C" w:rsidP="00F35AD5">
      <w:pPr>
        <w:pStyle w:val="NormalWeb"/>
        <w:numPr>
          <w:ilvl w:val="0"/>
          <w:numId w:val="1"/>
        </w:numPr>
        <w:spacing w:before="0" w:beforeAutospacing="0"/>
        <w:ind w:left="714" w:hanging="357"/>
        <w:rPr>
          <w:rFonts w:ascii="Arial" w:hAnsi="Arial" w:cs="Arial"/>
          <w:color w:val="000000"/>
          <w:sz w:val="21"/>
          <w:szCs w:val="21"/>
          <w:lang w:val="en-AU"/>
        </w:rPr>
      </w:pPr>
      <w:r w:rsidRPr="00F35AD5">
        <w:rPr>
          <w:rFonts w:ascii="Arial" w:hAnsi="Arial" w:cs="Arial"/>
          <w:color w:val="000000"/>
          <w:sz w:val="21"/>
          <w:szCs w:val="21"/>
          <w:lang w:val="en-AU"/>
        </w:rPr>
        <w:t xml:space="preserve">The largest </w:t>
      </w:r>
      <w:r w:rsidR="00F35AD5" w:rsidRPr="00F35AD5">
        <w:rPr>
          <w:rFonts w:ascii="Arial" w:hAnsi="Arial" w:cs="Arial"/>
          <w:color w:val="000000"/>
          <w:sz w:val="21"/>
          <w:szCs w:val="21"/>
          <w:lang w:val="en-AU"/>
        </w:rPr>
        <w:t>downward</w:t>
      </w:r>
      <w:r w:rsidR="00E53A72" w:rsidRPr="00F35AD5">
        <w:rPr>
          <w:rFonts w:ascii="Arial" w:hAnsi="Arial" w:cs="Arial"/>
          <w:color w:val="000000"/>
          <w:sz w:val="21"/>
          <w:szCs w:val="21"/>
          <w:lang w:val="en-AU"/>
        </w:rPr>
        <w:t xml:space="preserve"> </w:t>
      </w:r>
      <w:r w:rsidRPr="00F35AD5">
        <w:rPr>
          <w:rFonts w:ascii="Arial" w:hAnsi="Arial" w:cs="Arial"/>
          <w:color w:val="000000"/>
          <w:sz w:val="21"/>
          <w:szCs w:val="21"/>
          <w:lang w:val="en-AU"/>
        </w:rPr>
        <w:t xml:space="preserve">change in prices came from </w:t>
      </w:r>
      <w:r w:rsidR="001075D1" w:rsidRPr="00F35AD5">
        <w:rPr>
          <w:rFonts w:ascii="Arial" w:hAnsi="Arial" w:cs="Arial"/>
          <w:color w:val="000000"/>
          <w:sz w:val="21"/>
          <w:szCs w:val="21"/>
          <w:lang w:val="en-AU"/>
        </w:rPr>
        <w:t xml:space="preserve">the </w:t>
      </w:r>
      <w:r w:rsidR="00E53A72" w:rsidRPr="00F35AD5">
        <w:rPr>
          <w:rFonts w:ascii="Arial" w:hAnsi="Arial" w:cs="Arial"/>
          <w:color w:val="000000"/>
          <w:sz w:val="21"/>
          <w:szCs w:val="21"/>
          <w:lang w:val="en-AU"/>
        </w:rPr>
        <w:t xml:space="preserve">Transport </w:t>
      </w:r>
      <w:r w:rsidRPr="00F35AD5">
        <w:rPr>
          <w:rFonts w:ascii="Arial" w:hAnsi="Arial" w:cs="Arial"/>
          <w:color w:val="000000"/>
          <w:sz w:val="21"/>
          <w:szCs w:val="21"/>
          <w:lang w:val="en-AU"/>
        </w:rPr>
        <w:t xml:space="preserve">group, </w:t>
      </w:r>
      <w:r w:rsidR="00F35AD5" w:rsidRPr="00F35AD5">
        <w:rPr>
          <w:rFonts w:ascii="Arial" w:hAnsi="Arial" w:cs="Arial"/>
          <w:color w:val="000000"/>
          <w:sz w:val="21"/>
          <w:szCs w:val="21"/>
          <w:lang w:val="en-AU"/>
        </w:rPr>
        <w:t>down</w:t>
      </w:r>
      <w:r w:rsidR="00E53A72" w:rsidRPr="00F35AD5">
        <w:rPr>
          <w:rFonts w:ascii="Arial" w:hAnsi="Arial" w:cs="Arial"/>
          <w:color w:val="000000"/>
          <w:sz w:val="21"/>
          <w:szCs w:val="21"/>
          <w:lang w:val="en-AU"/>
        </w:rPr>
        <w:t xml:space="preserve"> </w:t>
      </w:r>
      <w:r w:rsidR="00F35AD5" w:rsidRPr="007F2C6B">
        <w:rPr>
          <w:rFonts w:ascii="Arial" w:hAnsi="Arial" w:cs="Arial"/>
          <w:color w:val="000000"/>
          <w:sz w:val="21"/>
          <w:szCs w:val="21"/>
          <w:lang w:val="en-AU"/>
        </w:rPr>
        <w:t>14.2</w:t>
      </w:r>
      <w:r w:rsidR="00E53A72" w:rsidRPr="00F35AD5">
        <w:rPr>
          <w:rFonts w:ascii="Arial" w:hAnsi="Arial" w:cs="Arial"/>
          <w:color w:val="000000"/>
          <w:sz w:val="21"/>
          <w:szCs w:val="21"/>
          <w:lang w:val="en-AU"/>
        </w:rPr>
        <w:t xml:space="preserve"> </w:t>
      </w:r>
      <w:r w:rsidRPr="00F35AD5">
        <w:rPr>
          <w:rFonts w:ascii="Arial" w:hAnsi="Arial" w:cs="Arial"/>
          <w:color w:val="000000"/>
          <w:sz w:val="21"/>
          <w:szCs w:val="21"/>
        </w:rPr>
        <w:t>percent</w:t>
      </w:r>
      <w:r w:rsidR="00FB5015" w:rsidRPr="00F35AD5">
        <w:rPr>
          <w:rFonts w:ascii="Arial" w:hAnsi="Arial" w:cs="Arial"/>
          <w:color w:val="000000"/>
          <w:sz w:val="21"/>
          <w:szCs w:val="21"/>
        </w:rPr>
        <w:t>,</w:t>
      </w:r>
      <w:r w:rsidRPr="00F35AD5">
        <w:rPr>
          <w:rFonts w:ascii="Arial" w:hAnsi="Arial" w:cs="Arial"/>
          <w:color w:val="000000"/>
          <w:sz w:val="21"/>
          <w:szCs w:val="21"/>
        </w:rPr>
        <w:t xml:space="preserve"> contributing</w:t>
      </w:r>
      <w:r w:rsidR="00F35AD5" w:rsidRPr="00F35AD5">
        <w:rPr>
          <w:rFonts w:ascii="Arial" w:hAnsi="Arial" w:cs="Arial"/>
          <w:color w:val="000000"/>
          <w:sz w:val="21"/>
          <w:szCs w:val="21"/>
        </w:rPr>
        <w:t xml:space="preserve"> negative</w:t>
      </w:r>
      <w:r w:rsidRPr="00F35AD5">
        <w:rPr>
          <w:rFonts w:ascii="Arial" w:hAnsi="Arial" w:cs="Arial"/>
          <w:color w:val="000000"/>
          <w:sz w:val="21"/>
          <w:szCs w:val="21"/>
        </w:rPr>
        <w:t xml:space="preserve"> </w:t>
      </w:r>
      <w:r w:rsidR="003A7706" w:rsidRPr="007F2C6B">
        <w:rPr>
          <w:rFonts w:ascii="Arial" w:hAnsi="Arial" w:cs="Arial"/>
          <w:color w:val="000000"/>
          <w:sz w:val="21"/>
          <w:szCs w:val="21"/>
        </w:rPr>
        <w:t>1</w:t>
      </w:r>
      <w:r w:rsidR="00F35AD5" w:rsidRPr="007F2C6B">
        <w:rPr>
          <w:rFonts w:ascii="Arial" w:hAnsi="Arial" w:cs="Arial"/>
          <w:color w:val="000000"/>
          <w:sz w:val="21"/>
          <w:szCs w:val="21"/>
        </w:rPr>
        <w:t>.0</w:t>
      </w:r>
      <w:r w:rsidRPr="00F35AD5">
        <w:rPr>
          <w:rFonts w:ascii="Arial" w:hAnsi="Arial" w:cs="Arial"/>
          <w:color w:val="000000"/>
          <w:sz w:val="21"/>
          <w:szCs w:val="21"/>
        </w:rPr>
        <w:t xml:space="preserve"> </w:t>
      </w:r>
      <w:r w:rsidR="005F59B0">
        <w:rPr>
          <w:rFonts w:ascii="Arial" w:hAnsi="Arial" w:cs="Arial"/>
          <w:color w:val="000000"/>
          <w:sz w:val="21"/>
          <w:szCs w:val="21"/>
        </w:rPr>
        <w:t xml:space="preserve">percent </w:t>
      </w:r>
      <w:r w:rsidRPr="00F35AD5">
        <w:rPr>
          <w:rFonts w:ascii="Arial" w:hAnsi="Arial" w:cs="Arial"/>
          <w:color w:val="000000"/>
          <w:sz w:val="21"/>
          <w:szCs w:val="21"/>
        </w:rPr>
        <w:t>to CPI.</w:t>
      </w:r>
    </w:p>
    <w:p w14:paraId="54ED4EB7" w14:textId="7591C271" w:rsidR="003A7706" w:rsidRPr="00C13C15" w:rsidRDefault="003A7706" w:rsidP="00AD1D29">
      <w:pPr>
        <w:pStyle w:val="NormalWeb"/>
        <w:spacing w:before="0" w:beforeAutospacing="0"/>
        <w:rPr>
          <w:rFonts w:ascii="Arial" w:hAnsi="Arial" w:cs="Arial"/>
          <w:color w:val="000000"/>
          <w:sz w:val="21"/>
          <w:szCs w:val="21"/>
          <w:lang w:val="en-AU"/>
        </w:rPr>
      </w:pPr>
      <w:r w:rsidRPr="00F35AD5">
        <w:rPr>
          <w:rFonts w:ascii="Arial" w:hAnsi="Arial" w:cs="Arial"/>
          <w:color w:val="000000"/>
          <w:sz w:val="21"/>
          <w:szCs w:val="21"/>
          <w:lang w:val="en-AU"/>
        </w:rPr>
        <w:t xml:space="preserve">From the </w:t>
      </w:r>
      <w:r w:rsidR="00F35AD5">
        <w:rPr>
          <w:rFonts w:ascii="Arial" w:hAnsi="Arial" w:cs="Arial"/>
          <w:color w:val="000000"/>
          <w:sz w:val="21"/>
          <w:szCs w:val="21"/>
          <w:lang w:val="en-AU"/>
        </w:rPr>
        <w:t>September</w:t>
      </w:r>
      <w:r w:rsidRPr="00F35AD5">
        <w:rPr>
          <w:rFonts w:ascii="Arial" w:hAnsi="Arial" w:cs="Arial"/>
          <w:color w:val="000000"/>
          <w:sz w:val="21"/>
          <w:szCs w:val="21"/>
          <w:lang w:val="en-AU"/>
        </w:rPr>
        <w:t xml:space="preserve"> 2017 quarter to the </w:t>
      </w:r>
      <w:r w:rsidR="00F35AD5">
        <w:rPr>
          <w:rFonts w:ascii="Arial" w:hAnsi="Arial" w:cs="Arial"/>
          <w:color w:val="000000"/>
          <w:sz w:val="21"/>
          <w:szCs w:val="21"/>
          <w:lang w:val="en-AU"/>
        </w:rPr>
        <w:t>September</w:t>
      </w:r>
      <w:r w:rsidRPr="00F35AD5">
        <w:rPr>
          <w:rFonts w:ascii="Arial" w:hAnsi="Arial" w:cs="Arial"/>
          <w:color w:val="000000"/>
          <w:sz w:val="21"/>
          <w:szCs w:val="21"/>
          <w:lang w:val="en-AU"/>
        </w:rPr>
        <w:t xml:space="preserve"> 2018 quarter</w:t>
      </w:r>
      <w:r w:rsidR="001075D1" w:rsidRPr="00F35AD5">
        <w:rPr>
          <w:rFonts w:ascii="Arial" w:hAnsi="Arial" w:cs="Arial"/>
          <w:color w:val="000000"/>
          <w:sz w:val="21"/>
          <w:szCs w:val="21"/>
          <w:lang w:val="en-AU"/>
        </w:rPr>
        <w:t xml:space="preserve">, </w:t>
      </w:r>
      <w:r w:rsidRPr="00F35AD5">
        <w:rPr>
          <w:rFonts w:ascii="Arial" w:hAnsi="Arial" w:cs="Arial"/>
          <w:color w:val="000000"/>
          <w:sz w:val="21"/>
          <w:szCs w:val="21"/>
          <w:lang w:val="en-AU"/>
        </w:rPr>
        <w:t xml:space="preserve">CPI </w:t>
      </w:r>
      <w:r w:rsidR="001075D1" w:rsidRPr="00F35AD5">
        <w:rPr>
          <w:rFonts w:ascii="Arial" w:hAnsi="Arial" w:cs="Arial"/>
          <w:color w:val="000000"/>
          <w:sz w:val="21"/>
          <w:szCs w:val="21"/>
          <w:lang w:val="en-AU"/>
        </w:rPr>
        <w:t>i</w:t>
      </w:r>
      <w:r w:rsidRPr="00F35AD5">
        <w:rPr>
          <w:rFonts w:ascii="Arial" w:hAnsi="Arial" w:cs="Arial"/>
          <w:color w:val="000000"/>
          <w:sz w:val="21"/>
          <w:szCs w:val="21"/>
          <w:lang w:val="en-AU"/>
        </w:rPr>
        <w:t xml:space="preserve">ncreased </w:t>
      </w:r>
      <w:r w:rsidR="00FA6E1C">
        <w:rPr>
          <w:rFonts w:ascii="Arial" w:hAnsi="Arial" w:cs="Arial"/>
          <w:color w:val="000000"/>
          <w:sz w:val="21"/>
          <w:szCs w:val="21"/>
          <w:lang w:val="en-AU"/>
        </w:rPr>
        <w:t>4</w:t>
      </w:r>
      <w:r w:rsidR="00F35AD5" w:rsidRPr="00D46445">
        <w:rPr>
          <w:rFonts w:ascii="Arial" w:hAnsi="Arial" w:cs="Arial"/>
          <w:color w:val="000000"/>
          <w:sz w:val="21"/>
          <w:szCs w:val="21"/>
          <w:lang w:val="en-AU"/>
        </w:rPr>
        <w:t>.</w:t>
      </w:r>
      <w:r w:rsidR="00FA6E1C">
        <w:rPr>
          <w:rFonts w:ascii="Arial" w:hAnsi="Arial" w:cs="Arial"/>
          <w:color w:val="000000"/>
          <w:sz w:val="21"/>
          <w:szCs w:val="21"/>
          <w:lang w:val="en-AU"/>
        </w:rPr>
        <w:t>8</w:t>
      </w:r>
      <w:r w:rsidRPr="00F35AD5">
        <w:rPr>
          <w:rFonts w:ascii="Arial" w:hAnsi="Arial" w:cs="Arial"/>
          <w:color w:val="000000"/>
          <w:sz w:val="21"/>
          <w:szCs w:val="21"/>
          <w:lang w:val="en-AU"/>
        </w:rPr>
        <w:t xml:space="preserve"> </w:t>
      </w:r>
      <w:r w:rsidR="00F35AD5" w:rsidRPr="00F35AD5">
        <w:rPr>
          <w:rFonts w:ascii="Arial" w:hAnsi="Arial" w:cs="Arial"/>
          <w:color w:val="000000"/>
          <w:sz w:val="21"/>
          <w:szCs w:val="21"/>
          <w:lang w:val="en-AU"/>
        </w:rPr>
        <w:t>percent.</w:t>
      </w:r>
      <w:r w:rsidR="00F35AD5">
        <w:rPr>
          <w:rFonts w:ascii="Arial" w:hAnsi="Arial" w:cs="Arial"/>
          <w:color w:val="000000"/>
          <w:sz w:val="21"/>
          <w:szCs w:val="21"/>
          <w:lang w:val="en-AU"/>
        </w:rPr>
        <w:t xml:space="preserve"> This</w:t>
      </w:r>
      <w:r>
        <w:rPr>
          <w:rFonts w:ascii="Arial" w:hAnsi="Arial" w:cs="Arial"/>
          <w:color w:val="000000"/>
          <w:sz w:val="21"/>
          <w:szCs w:val="21"/>
          <w:lang w:val="en-AU"/>
        </w:rPr>
        <w:t xml:space="preserve"> compares with </w:t>
      </w:r>
      <w:r w:rsidR="007F2C6B">
        <w:rPr>
          <w:rFonts w:ascii="Arial" w:hAnsi="Arial" w:cs="Arial"/>
          <w:color w:val="000000"/>
          <w:sz w:val="21"/>
          <w:szCs w:val="21"/>
          <w:lang w:val="en-AU"/>
        </w:rPr>
        <w:t>a</w:t>
      </w:r>
      <w:r>
        <w:rPr>
          <w:rFonts w:ascii="Arial" w:hAnsi="Arial" w:cs="Arial"/>
          <w:color w:val="000000"/>
          <w:sz w:val="21"/>
          <w:szCs w:val="21"/>
          <w:lang w:val="en-AU"/>
        </w:rPr>
        <w:t xml:space="preserve"> </w:t>
      </w:r>
      <w:r w:rsidR="00F35AD5">
        <w:rPr>
          <w:rFonts w:ascii="Arial" w:hAnsi="Arial" w:cs="Arial"/>
          <w:color w:val="000000"/>
          <w:sz w:val="21"/>
          <w:szCs w:val="21"/>
          <w:lang w:val="en-AU"/>
        </w:rPr>
        <w:t>6.</w:t>
      </w:r>
      <w:r w:rsidR="00EC29D8">
        <w:rPr>
          <w:rFonts w:ascii="Arial" w:hAnsi="Arial" w:cs="Arial"/>
          <w:color w:val="000000"/>
          <w:sz w:val="21"/>
          <w:szCs w:val="21"/>
          <w:lang w:val="en-AU"/>
        </w:rPr>
        <w:t>6</w:t>
      </w:r>
      <w:r>
        <w:rPr>
          <w:rFonts w:ascii="Arial" w:hAnsi="Arial" w:cs="Arial"/>
          <w:color w:val="000000"/>
          <w:sz w:val="21"/>
          <w:szCs w:val="21"/>
          <w:lang w:val="en-AU"/>
        </w:rPr>
        <w:t xml:space="preserve"> percent increase in the </w:t>
      </w:r>
      <w:r w:rsidR="001E2472">
        <w:rPr>
          <w:rFonts w:ascii="Arial" w:hAnsi="Arial" w:cs="Arial"/>
          <w:color w:val="000000"/>
          <w:sz w:val="21"/>
          <w:szCs w:val="21"/>
          <w:lang w:val="en-AU"/>
        </w:rPr>
        <w:t xml:space="preserve">June 2017 quarter </w:t>
      </w:r>
      <w:r>
        <w:rPr>
          <w:rFonts w:ascii="Arial" w:hAnsi="Arial" w:cs="Arial"/>
          <w:color w:val="000000"/>
          <w:sz w:val="21"/>
          <w:szCs w:val="21"/>
          <w:lang w:val="en-AU"/>
        </w:rPr>
        <w:t xml:space="preserve">to the </w:t>
      </w:r>
      <w:r w:rsidR="00F35AD5">
        <w:rPr>
          <w:rFonts w:ascii="Arial" w:hAnsi="Arial" w:cs="Arial"/>
          <w:color w:val="000000"/>
          <w:sz w:val="21"/>
          <w:szCs w:val="21"/>
          <w:lang w:val="en-AU"/>
        </w:rPr>
        <w:t>June</w:t>
      </w:r>
      <w:r>
        <w:rPr>
          <w:rFonts w:ascii="Arial" w:hAnsi="Arial" w:cs="Arial"/>
          <w:color w:val="000000"/>
          <w:sz w:val="21"/>
          <w:szCs w:val="21"/>
          <w:lang w:val="en-AU"/>
        </w:rPr>
        <w:t xml:space="preserve"> 2018 quarter.</w:t>
      </w:r>
    </w:p>
    <w:p w14:paraId="42F92FDC" w14:textId="2525115B" w:rsidR="002D6A73" w:rsidRPr="00170FDC" w:rsidRDefault="006C377E" w:rsidP="00170FDC">
      <w:pPr>
        <w:pStyle w:val="NormalWeb"/>
        <w:spacing w:before="0" w:beforeAutospacing="0"/>
        <w:rPr>
          <w:rFonts w:ascii="Arial" w:hAnsi="Arial" w:cs="Arial"/>
          <w:color w:val="000000"/>
          <w:sz w:val="21"/>
          <w:szCs w:val="21"/>
          <w:lang w:val="en-AU"/>
        </w:rPr>
      </w:pPr>
      <w:r w:rsidRPr="00170FDC">
        <w:rPr>
          <w:rFonts w:ascii="Arial" w:hAnsi="Arial" w:cs="Arial"/>
          <w:color w:val="000000"/>
          <w:sz w:val="21"/>
          <w:szCs w:val="21"/>
          <w:lang w:val="en-AU"/>
        </w:rPr>
        <w:t xml:space="preserve">The CPI measures the rate of price change of goods and services purchased by Tokelau </w:t>
      </w:r>
      <w:r w:rsidR="00CE56B5" w:rsidRPr="00170FDC">
        <w:rPr>
          <w:rFonts w:ascii="Arial" w:hAnsi="Arial" w:cs="Arial"/>
          <w:color w:val="000000"/>
          <w:sz w:val="21"/>
          <w:szCs w:val="21"/>
          <w:lang w:val="en-AU"/>
        </w:rPr>
        <w:t>h</w:t>
      </w:r>
      <w:r w:rsidRPr="00170FDC">
        <w:rPr>
          <w:rFonts w:ascii="Arial" w:hAnsi="Arial" w:cs="Arial"/>
          <w:color w:val="000000"/>
          <w:sz w:val="21"/>
          <w:szCs w:val="21"/>
          <w:lang w:val="en-AU"/>
        </w:rPr>
        <w:t xml:space="preserve">ouseholds. The Tokelau National Statistics Office (TNSO) collects prices from the co-op and bulk stores on all three atolls, as well as prices from service providers, including transport, energy, and telecommunications. </w:t>
      </w:r>
    </w:p>
    <w:p w14:paraId="4786DC4E" w14:textId="33229EFA" w:rsidR="00096679" w:rsidRPr="00C13C15" w:rsidRDefault="00FF3B8A" w:rsidP="002617A4">
      <w:pPr>
        <w:pStyle w:val="NormalWeb"/>
        <w:ind w:left="360"/>
        <w:rPr>
          <w:rFonts w:ascii="Arial" w:hAnsi="Arial" w:cs="Arial"/>
          <w:color w:val="000000"/>
          <w:sz w:val="21"/>
          <w:szCs w:val="21"/>
          <w:lang w:val="en-AU"/>
        </w:rPr>
      </w:pPr>
      <w:r>
        <w:rPr>
          <w:rFonts w:ascii="Arial" w:hAnsi="Arial" w:cs="Arial"/>
          <w:noProof/>
          <w:color w:val="000000"/>
          <w:sz w:val="21"/>
          <w:szCs w:val="21"/>
          <w:lang w:val="en-NZ" w:eastAsia="en-NZ"/>
        </w:rPr>
        <w:drawing>
          <wp:inline distT="0" distB="0" distL="0" distR="0" wp14:anchorId="480A5CA0" wp14:editId="14EAE1A5">
            <wp:extent cx="2923953" cy="3388064"/>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3953" cy="3388064"/>
                    </a:xfrm>
                    <a:prstGeom prst="rect">
                      <a:avLst/>
                    </a:prstGeom>
                    <a:noFill/>
                  </pic:spPr>
                </pic:pic>
              </a:graphicData>
            </a:graphic>
          </wp:inline>
        </w:drawing>
      </w:r>
      <w:r>
        <w:rPr>
          <w:rFonts w:ascii="Arial" w:hAnsi="Arial" w:cs="Arial"/>
          <w:noProof/>
          <w:color w:val="000000"/>
          <w:sz w:val="21"/>
          <w:szCs w:val="21"/>
          <w:lang w:val="en-NZ" w:eastAsia="en-NZ"/>
        </w:rPr>
        <w:drawing>
          <wp:inline distT="0" distB="0" distL="0" distR="0" wp14:anchorId="6BDBB8FA" wp14:editId="42A814BD">
            <wp:extent cx="3019647" cy="339178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0243" cy="3392456"/>
                    </a:xfrm>
                    <a:prstGeom prst="rect">
                      <a:avLst/>
                    </a:prstGeom>
                    <a:noFill/>
                  </pic:spPr>
                </pic:pic>
              </a:graphicData>
            </a:graphic>
          </wp:inline>
        </w:drawing>
      </w:r>
    </w:p>
    <w:p w14:paraId="3D7FF1DA" w14:textId="16DC585C" w:rsidR="004B1130" w:rsidRDefault="004B1130" w:rsidP="004B1130">
      <w:pPr>
        <w:pStyle w:val="NormalWeb"/>
        <w:tabs>
          <w:tab w:val="right" w:pos="8789"/>
        </w:tabs>
        <w:ind w:firstLine="360"/>
        <w:rPr>
          <w:rFonts w:ascii="Arial" w:hAnsi="Arial" w:cs="Arial"/>
          <w:color w:val="000000"/>
          <w:sz w:val="22"/>
          <w:szCs w:val="22"/>
          <w:lang w:val="en-AU"/>
        </w:rPr>
      </w:pPr>
      <w:r>
        <w:rPr>
          <w:rFonts w:ascii="Arial" w:hAnsi="Arial" w:cs="Arial"/>
          <w:color w:val="000000"/>
          <w:sz w:val="22"/>
          <w:szCs w:val="22"/>
          <w:lang w:val="en-AU"/>
        </w:rPr>
        <w:tab/>
      </w:r>
    </w:p>
    <w:p w14:paraId="713F0AE8" w14:textId="1F3571E9" w:rsidR="006C377E" w:rsidRPr="004B1130" w:rsidRDefault="00852E0A" w:rsidP="004B1130">
      <w:pPr>
        <w:pStyle w:val="NormalWeb"/>
        <w:tabs>
          <w:tab w:val="right" w:pos="8789"/>
        </w:tabs>
        <w:ind w:firstLine="360"/>
        <w:rPr>
          <w:rFonts w:ascii="Arial" w:hAnsi="Arial" w:cs="Arial"/>
          <w:color w:val="000000"/>
          <w:sz w:val="22"/>
          <w:szCs w:val="22"/>
          <w:lang w:val="en-AU"/>
        </w:rPr>
      </w:pPr>
      <w:r w:rsidRPr="00C13C15">
        <w:rPr>
          <w:rFonts w:ascii="Arial" w:hAnsi="Arial" w:cs="Arial"/>
          <w:i/>
          <w:sz w:val="22"/>
          <w:szCs w:val="22"/>
          <w:lang w:val="en-AU"/>
        </w:rPr>
        <w:t xml:space="preserve">for </w:t>
      </w:r>
      <w:r w:rsidRPr="00C13C15">
        <w:rPr>
          <w:rFonts w:ascii="Arial" w:hAnsi="Arial" w:cs="Arial"/>
          <w:b/>
          <w:sz w:val="22"/>
          <w:szCs w:val="22"/>
          <w:lang w:val="en-AU"/>
        </w:rPr>
        <w:t>National Statistician</w:t>
      </w:r>
      <w:r w:rsidR="006C377E" w:rsidRPr="00C13C15">
        <w:rPr>
          <w:rFonts w:ascii="Arial" w:hAnsi="Arial" w:cs="Arial"/>
          <w:b/>
          <w:sz w:val="22"/>
          <w:szCs w:val="22"/>
          <w:lang w:val="en-AU"/>
        </w:rPr>
        <w:tab/>
      </w:r>
      <w:r w:rsidR="002042C2">
        <w:rPr>
          <w:rFonts w:ascii="Arial" w:hAnsi="Arial" w:cs="Arial"/>
          <w:b/>
          <w:sz w:val="22"/>
          <w:szCs w:val="22"/>
          <w:lang w:val="en-AU"/>
        </w:rPr>
        <w:t>31</w:t>
      </w:r>
      <w:r w:rsidR="005F59B0">
        <w:rPr>
          <w:rFonts w:ascii="Arial" w:hAnsi="Arial" w:cs="Arial"/>
          <w:b/>
          <w:sz w:val="22"/>
          <w:szCs w:val="22"/>
          <w:lang w:val="en-AU"/>
        </w:rPr>
        <w:t xml:space="preserve"> October </w:t>
      </w:r>
      <w:r w:rsidR="006E1723" w:rsidRPr="00C13C15">
        <w:rPr>
          <w:rFonts w:ascii="Arial" w:hAnsi="Arial" w:cs="Arial"/>
          <w:b/>
          <w:sz w:val="22"/>
          <w:szCs w:val="22"/>
          <w:lang w:val="en-AU"/>
        </w:rPr>
        <w:t>201</w:t>
      </w:r>
      <w:r w:rsidR="003F38EC" w:rsidRPr="00C13C15">
        <w:rPr>
          <w:rFonts w:ascii="Arial" w:hAnsi="Arial" w:cs="Arial"/>
          <w:b/>
          <w:sz w:val="22"/>
          <w:szCs w:val="22"/>
          <w:lang w:val="en-AU"/>
        </w:rPr>
        <w:t>8</w:t>
      </w:r>
    </w:p>
    <w:p w14:paraId="7A19DB54" w14:textId="77777777" w:rsidR="006C377E" w:rsidRPr="00C13C15" w:rsidRDefault="006C377E">
      <w:pPr>
        <w:pStyle w:val="Heading2"/>
        <w:rPr>
          <w:sz w:val="26"/>
          <w:szCs w:val="26"/>
        </w:rPr>
      </w:pPr>
      <w:r w:rsidRPr="00C13C15">
        <w:rPr>
          <w:sz w:val="32"/>
        </w:rPr>
        <w:br w:type="page"/>
      </w:r>
      <w:r w:rsidRPr="00C13C15">
        <w:rPr>
          <w:sz w:val="26"/>
          <w:szCs w:val="26"/>
        </w:rPr>
        <w:lastRenderedPageBreak/>
        <w:t>Commentary</w:t>
      </w:r>
    </w:p>
    <w:p w14:paraId="7320F953" w14:textId="0663149B" w:rsidR="006257B1" w:rsidRPr="00C13C15" w:rsidRDefault="005F72B7" w:rsidP="00105271">
      <w:pPr>
        <w:widowControl w:val="0"/>
        <w:autoSpaceDE w:val="0"/>
        <w:autoSpaceDN w:val="0"/>
        <w:adjustRightInd w:val="0"/>
        <w:spacing w:after="240"/>
      </w:pPr>
      <w:r w:rsidRPr="00C13C15">
        <w:rPr>
          <w:rFonts w:ascii="Arial" w:hAnsi="Arial" w:cs="Arial"/>
          <w:color w:val="000000"/>
          <w:sz w:val="21"/>
          <w:szCs w:val="21"/>
        </w:rPr>
        <w:t>The following sections provide d</w:t>
      </w:r>
      <w:r w:rsidR="00A94D14" w:rsidRPr="00C13C15">
        <w:rPr>
          <w:rFonts w:ascii="Arial" w:hAnsi="Arial" w:cs="Arial"/>
          <w:color w:val="000000"/>
          <w:sz w:val="21"/>
          <w:szCs w:val="21"/>
        </w:rPr>
        <w:t xml:space="preserve">etailed commentary on the </w:t>
      </w:r>
      <w:r w:rsidR="00327094" w:rsidRPr="00C13C15">
        <w:rPr>
          <w:rFonts w:ascii="Arial" w:hAnsi="Arial" w:cs="Arial"/>
          <w:color w:val="000000"/>
          <w:sz w:val="21"/>
          <w:szCs w:val="21"/>
        </w:rPr>
        <w:t>c</w:t>
      </w:r>
      <w:r w:rsidR="00DF69BD" w:rsidRPr="00C13C15">
        <w:rPr>
          <w:rFonts w:ascii="Arial" w:hAnsi="Arial" w:cs="Arial"/>
          <w:color w:val="000000"/>
          <w:sz w:val="21"/>
          <w:szCs w:val="21"/>
        </w:rPr>
        <w:t>onsumer</w:t>
      </w:r>
      <w:r w:rsidR="00A94D14" w:rsidRPr="00C13C15">
        <w:rPr>
          <w:rFonts w:ascii="Arial" w:hAnsi="Arial" w:cs="Arial"/>
          <w:color w:val="000000"/>
          <w:sz w:val="21"/>
          <w:szCs w:val="21"/>
        </w:rPr>
        <w:t xml:space="preserve"> </w:t>
      </w:r>
      <w:r w:rsidR="00327094" w:rsidRPr="00C13C15">
        <w:rPr>
          <w:rFonts w:ascii="Arial" w:hAnsi="Arial" w:cs="Arial"/>
          <w:color w:val="000000"/>
          <w:sz w:val="21"/>
          <w:szCs w:val="21"/>
        </w:rPr>
        <w:t>p</w:t>
      </w:r>
      <w:r w:rsidR="00A94D14" w:rsidRPr="00C13C15">
        <w:rPr>
          <w:rFonts w:ascii="Arial" w:hAnsi="Arial" w:cs="Arial"/>
          <w:color w:val="000000"/>
          <w:sz w:val="21"/>
          <w:szCs w:val="21"/>
        </w:rPr>
        <w:t xml:space="preserve">rice </w:t>
      </w:r>
      <w:r w:rsidR="00327094" w:rsidRPr="00C13C15">
        <w:rPr>
          <w:rFonts w:ascii="Arial" w:hAnsi="Arial" w:cs="Arial"/>
          <w:color w:val="000000"/>
          <w:sz w:val="21"/>
          <w:szCs w:val="21"/>
        </w:rPr>
        <w:t>i</w:t>
      </w:r>
      <w:r w:rsidR="00A94D14" w:rsidRPr="00C13C15">
        <w:rPr>
          <w:rFonts w:ascii="Arial" w:hAnsi="Arial" w:cs="Arial"/>
          <w:color w:val="000000"/>
          <w:sz w:val="21"/>
          <w:szCs w:val="21"/>
        </w:rPr>
        <w:t>ndex</w:t>
      </w:r>
      <w:r w:rsidR="00D144AE" w:rsidRPr="00C13C15">
        <w:rPr>
          <w:rFonts w:ascii="Arial" w:hAnsi="Arial" w:cs="Arial"/>
          <w:color w:val="000000"/>
          <w:sz w:val="21"/>
          <w:szCs w:val="21"/>
        </w:rPr>
        <w:t xml:space="preserve"> of Toke</w:t>
      </w:r>
      <w:r w:rsidR="00D144AE" w:rsidRPr="00C13C15">
        <w:rPr>
          <w:rFonts w:ascii="Arial" w:hAnsi="Arial" w:cs="Arial"/>
          <w:sz w:val="21"/>
          <w:szCs w:val="21"/>
        </w:rPr>
        <w:t>lau</w:t>
      </w:r>
      <w:r w:rsidR="00A94D14" w:rsidRPr="00C13C15">
        <w:rPr>
          <w:rFonts w:ascii="Arial" w:hAnsi="Arial" w:cs="Arial"/>
          <w:sz w:val="21"/>
          <w:szCs w:val="21"/>
        </w:rPr>
        <w:t>:</w:t>
      </w:r>
    </w:p>
    <w:p w14:paraId="30CD1255" w14:textId="605FAB58" w:rsidR="006257B1" w:rsidRPr="00C13C15" w:rsidRDefault="00D17E28" w:rsidP="00092834">
      <w:pPr>
        <w:pStyle w:val="ListParagraph"/>
        <w:widowControl w:val="0"/>
        <w:numPr>
          <w:ilvl w:val="0"/>
          <w:numId w:val="22"/>
        </w:numPr>
        <w:autoSpaceDE w:val="0"/>
        <w:autoSpaceDN w:val="0"/>
        <w:adjustRightInd w:val="0"/>
        <w:spacing w:after="240"/>
        <w:rPr>
          <w:rFonts w:ascii="Arial" w:hAnsi="Arial" w:cs="Arial"/>
          <w:color w:val="000000"/>
          <w:sz w:val="21"/>
          <w:szCs w:val="21"/>
          <w:u w:val="single"/>
        </w:rPr>
      </w:pPr>
      <w:hyperlink w:anchor="_CPI_rises_2.1" w:history="1">
        <w:r w:rsidR="00092834" w:rsidRPr="00C13C15">
          <w:rPr>
            <w:rStyle w:val="Hyperlink"/>
            <w:rFonts w:ascii="Arial" w:hAnsi="Arial" w:cs="Arial"/>
            <w:sz w:val="21"/>
            <w:szCs w:val="21"/>
            <w:lang w:val="en-GB"/>
          </w:rPr>
          <w:t xml:space="preserve">Quarterly CPI </w:t>
        </w:r>
        <w:r w:rsidR="005F59B0">
          <w:rPr>
            <w:rStyle w:val="Hyperlink"/>
            <w:rFonts w:ascii="Arial" w:hAnsi="Arial" w:cs="Arial"/>
            <w:sz w:val="21"/>
            <w:szCs w:val="21"/>
            <w:lang w:val="en-GB"/>
          </w:rPr>
          <w:t>i</w:t>
        </w:r>
        <w:r w:rsidR="00ED0356">
          <w:rPr>
            <w:rStyle w:val="Hyperlink"/>
            <w:rFonts w:ascii="Arial" w:hAnsi="Arial" w:cs="Arial"/>
            <w:sz w:val="21"/>
            <w:szCs w:val="21"/>
            <w:lang w:val="en-GB"/>
          </w:rPr>
          <w:t>ncrease</w:t>
        </w:r>
        <w:r w:rsidR="004B1130">
          <w:rPr>
            <w:rStyle w:val="Hyperlink"/>
            <w:rFonts w:ascii="Arial" w:hAnsi="Arial" w:cs="Arial"/>
            <w:sz w:val="21"/>
            <w:szCs w:val="21"/>
            <w:lang w:val="en-GB"/>
          </w:rPr>
          <w:t xml:space="preserve"> of </w:t>
        </w:r>
        <w:r w:rsidR="00682A92" w:rsidRPr="00170FDC">
          <w:rPr>
            <w:rStyle w:val="Hyperlink"/>
            <w:rFonts w:ascii="Arial" w:hAnsi="Arial" w:cs="Arial"/>
            <w:sz w:val="21"/>
            <w:szCs w:val="21"/>
            <w:lang w:val="en-GB"/>
          </w:rPr>
          <w:t>4</w:t>
        </w:r>
        <w:r w:rsidR="00ED0356" w:rsidRPr="00682A92">
          <w:rPr>
            <w:rStyle w:val="Hyperlink"/>
            <w:rFonts w:ascii="Arial" w:hAnsi="Arial" w:cs="Arial"/>
            <w:sz w:val="21"/>
            <w:szCs w:val="21"/>
            <w:lang w:val="en-GB"/>
          </w:rPr>
          <w:t>.</w:t>
        </w:r>
        <w:r w:rsidR="0005561C">
          <w:rPr>
            <w:rStyle w:val="Hyperlink"/>
            <w:rFonts w:ascii="Arial" w:hAnsi="Arial" w:cs="Arial"/>
            <w:sz w:val="21"/>
            <w:szCs w:val="21"/>
            <w:lang w:val="en-GB"/>
          </w:rPr>
          <w:t>2</w:t>
        </w:r>
        <w:r w:rsidR="00092834" w:rsidRPr="00C13C15">
          <w:rPr>
            <w:rStyle w:val="Hyperlink"/>
            <w:rFonts w:ascii="Arial" w:hAnsi="Arial" w:cs="Arial"/>
            <w:sz w:val="21"/>
            <w:szCs w:val="21"/>
            <w:lang w:val="en-GB"/>
          </w:rPr>
          <w:t xml:space="preserve"> percent for </w:t>
        </w:r>
        <w:r w:rsidR="00ED0356">
          <w:rPr>
            <w:rStyle w:val="Hyperlink"/>
            <w:rFonts w:ascii="Arial" w:hAnsi="Arial" w:cs="Arial"/>
            <w:sz w:val="21"/>
            <w:szCs w:val="21"/>
            <w:lang w:val="en-GB"/>
          </w:rPr>
          <w:t>September</w:t>
        </w:r>
        <w:r w:rsidR="00DB3373" w:rsidRPr="00C13C15">
          <w:rPr>
            <w:rStyle w:val="Hyperlink"/>
            <w:rFonts w:ascii="Arial" w:hAnsi="Arial" w:cs="Arial"/>
            <w:sz w:val="21"/>
            <w:szCs w:val="21"/>
            <w:lang w:val="en-GB"/>
          </w:rPr>
          <w:t xml:space="preserve"> 2018</w:t>
        </w:r>
      </w:hyperlink>
    </w:p>
    <w:p w14:paraId="6A684EA5" w14:textId="239176F6" w:rsidR="006C377E" w:rsidRPr="00710843" w:rsidRDefault="00D17E28" w:rsidP="006257B1">
      <w:pPr>
        <w:pStyle w:val="ListParagraph"/>
        <w:widowControl w:val="0"/>
        <w:numPr>
          <w:ilvl w:val="0"/>
          <w:numId w:val="22"/>
        </w:numPr>
        <w:autoSpaceDE w:val="0"/>
        <w:autoSpaceDN w:val="0"/>
        <w:adjustRightInd w:val="0"/>
        <w:spacing w:after="240"/>
        <w:rPr>
          <w:rStyle w:val="Hyperlink"/>
          <w:rFonts w:ascii="Arial" w:hAnsi="Arial" w:cs="Arial"/>
          <w:color w:val="000000"/>
          <w:sz w:val="22"/>
          <w:szCs w:val="22"/>
        </w:rPr>
      </w:pPr>
      <w:hyperlink w:anchor="_Alcoholic_beverages_and_2" w:history="1">
        <w:r w:rsidR="006257B1" w:rsidRPr="007E2096">
          <w:rPr>
            <w:rStyle w:val="Hyperlink"/>
            <w:rFonts w:ascii="Arial" w:hAnsi="Arial" w:cs="Arial"/>
            <w:sz w:val="22"/>
            <w:szCs w:val="22"/>
          </w:rPr>
          <w:t>Alcoholic beverages and tobacco group</w:t>
        </w:r>
        <w:r w:rsidR="007E2096" w:rsidRPr="007E2096">
          <w:rPr>
            <w:rStyle w:val="Hyperlink"/>
            <w:rFonts w:ascii="Arial" w:hAnsi="Arial" w:cs="Arial"/>
            <w:sz w:val="22"/>
            <w:szCs w:val="22"/>
          </w:rPr>
          <w:t xml:space="preserve"> </w:t>
        </w:r>
        <w:r w:rsidR="00ED0356">
          <w:rPr>
            <w:rStyle w:val="Hyperlink"/>
            <w:rFonts w:ascii="Arial" w:hAnsi="Arial" w:cs="Arial"/>
            <w:sz w:val="22"/>
            <w:szCs w:val="22"/>
          </w:rPr>
          <w:t>up</w:t>
        </w:r>
        <w:r w:rsidR="004B1130">
          <w:rPr>
            <w:rStyle w:val="Hyperlink"/>
            <w:rFonts w:ascii="Arial" w:hAnsi="Arial" w:cs="Arial"/>
            <w:sz w:val="22"/>
            <w:szCs w:val="22"/>
          </w:rPr>
          <w:t xml:space="preserve"> this quarter</w:t>
        </w:r>
      </w:hyperlink>
    </w:p>
    <w:p w14:paraId="7C1EDD5A" w14:textId="772AE69A" w:rsidR="00C86E7A" w:rsidRPr="00C13C15" w:rsidRDefault="007B4AAF" w:rsidP="00F64A0C">
      <w:pPr>
        <w:pStyle w:val="ListParagraph"/>
        <w:widowControl w:val="0"/>
        <w:numPr>
          <w:ilvl w:val="0"/>
          <w:numId w:val="22"/>
        </w:numPr>
        <w:autoSpaceDE w:val="0"/>
        <w:autoSpaceDN w:val="0"/>
        <w:adjustRightInd w:val="0"/>
        <w:spacing w:after="240"/>
        <w:rPr>
          <w:rStyle w:val="Hyperlink"/>
          <w:rFonts w:ascii="Arial" w:hAnsi="Arial" w:cs="Arial"/>
          <w:sz w:val="21"/>
          <w:szCs w:val="21"/>
          <w:lang w:val="en-GB"/>
        </w:rPr>
      </w:pPr>
      <w:r w:rsidRPr="00710843">
        <w:rPr>
          <w:rFonts w:ascii="Arial" w:hAnsi="Arial" w:cs="Arial"/>
          <w:sz w:val="21"/>
          <w:szCs w:val="21"/>
          <w:lang w:val="en-GB"/>
        </w:rPr>
        <w:fldChar w:fldCharType="begin"/>
      </w:r>
      <w:r w:rsidRPr="00C13C15">
        <w:rPr>
          <w:rFonts w:ascii="Arial" w:hAnsi="Arial" w:cs="Arial"/>
          <w:sz w:val="21"/>
          <w:szCs w:val="21"/>
          <w:lang w:val="en-GB"/>
        </w:rPr>
        <w:instrText xml:space="preserve"> HYPERLINK  \l "_Summary_of_other_4" </w:instrText>
      </w:r>
      <w:r w:rsidRPr="00710843">
        <w:rPr>
          <w:rFonts w:ascii="Arial" w:hAnsi="Arial" w:cs="Arial"/>
          <w:sz w:val="21"/>
          <w:szCs w:val="21"/>
          <w:lang w:val="en-GB"/>
        </w:rPr>
        <w:fldChar w:fldCharType="separate"/>
      </w:r>
      <w:r w:rsidR="006257B1" w:rsidRPr="00C13C15">
        <w:rPr>
          <w:rStyle w:val="Hyperlink"/>
          <w:rFonts w:ascii="Arial" w:hAnsi="Arial" w:cs="Arial"/>
          <w:sz w:val="21"/>
          <w:szCs w:val="21"/>
          <w:lang w:val="en-GB"/>
        </w:rPr>
        <w:t>Summary of other group movements in the quarterly CPI</w:t>
      </w:r>
    </w:p>
    <w:p w14:paraId="41F8F5F7" w14:textId="5F49C15B" w:rsidR="0083492A" w:rsidRPr="00C13C15" w:rsidRDefault="007B4AAF" w:rsidP="00C86E7A">
      <w:pPr>
        <w:pStyle w:val="ListParagraph"/>
        <w:widowControl w:val="0"/>
        <w:numPr>
          <w:ilvl w:val="0"/>
          <w:numId w:val="22"/>
        </w:numPr>
        <w:autoSpaceDE w:val="0"/>
        <w:autoSpaceDN w:val="0"/>
        <w:adjustRightInd w:val="0"/>
        <w:spacing w:after="240"/>
        <w:rPr>
          <w:rStyle w:val="Hyperlink"/>
          <w:rFonts w:ascii="Arial" w:hAnsi="Arial" w:cs="Arial"/>
          <w:color w:val="000000"/>
          <w:sz w:val="21"/>
          <w:szCs w:val="21"/>
          <w:u w:val="none"/>
          <w:lang w:val="en-GB"/>
        </w:rPr>
      </w:pPr>
      <w:r w:rsidRPr="00710843">
        <w:rPr>
          <w:rFonts w:ascii="Arial" w:hAnsi="Arial" w:cs="Arial"/>
          <w:sz w:val="21"/>
          <w:szCs w:val="21"/>
          <w:lang w:val="en-GB"/>
        </w:rPr>
        <w:fldChar w:fldCharType="end"/>
      </w:r>
      <w:hyperlink w:anchor="_Impact_of_items" w:history="1">
        <w:r w:rsidR="006257B1" w:rsidRPr="00C13C15">
          <w:rPr>
            <w:rStyle w:val="Hyperlink"/>
            <w:rFonts w:ascii="Arial" w:hAnsi="Arial" w:cs="Arial"/>
            <w:sz w:val="21"/>
            <w:szCs w:val="21"/>
            <w:lang w:val="en-GB"/>
          </w:rPr>
          <w:t>Impact of items that rose and fell in price</w:t>
        </w:r>
      </w:hyperlink>
    </w:p>
    <w:p w14:paraId="0652D86D" w14:textId="343C08E3" w:rsidR="005F59B0" w:rsidRPr="00170FDC" w:rsidRDefault="00D17E28" w:rsidP="00C86E7A">
      <w:pPr>
        <w:pStyle w:val="ListParagraph"/>
        <w:widowControl w:val="0"/>
        <w:numPr>
          <w:ilvl w:val="0"/>
          <w:numId w:val="22"/>
        </w:numPr>
        <w:autoSpaceDE w:val="0"/>
        <w:autoSpaceDN w:val="0"/>
        <w:adjustRightInd w:val="0"/>
        <w:spacing w:after="240"/>
        <w:rPr>
          <w:rStyle w:val="Hyperlink"/>
          <w:rFonts w:ascii="Arial" w:hAnsi="Arial" w:cs="Arial"/>
          <w:color w:val="000000"/>
          <w:sz w:val="21"/>
          <w:szCs w:val="21"/>
          <w:u w:val="none"/>
          <w:lang w:val="en-GB"/>
        </w:rPr>
      </w:pPr>
      <w:hyperlink w:anchor="_CPI_shows_10.2" w:history="1">
        <w:r w:rsidR="006257B1" w:rsidRPr="00C13C15">
          <w:rPr>
            <w:rStyle w:val="Hyperlink"/>
            <w:rFonts w:ascii="Arial" w:hAnsi="Arial" w:cs="Arial"/>
            <w:sz w:val="21"/>
            <w:szCs w:val="21"/>
            <w:lang w:val="en-GB"/>
          </w:rPr>
          <w:t xml:space="preserve">CPI shows </w:t>
        </w:r>
        <w:r w:rsidR="0005561C">
          <w:rPr>
            <w:rStyle w:val="Hyperlink"/>
            <w:rFonts w:ascii="Arial" w:hAnsi="Arial" w:cs="Arial"/>
            <w:sz w:val="21"/>
            <w:szCs w:val="21"/>
            <w:lang w:val="en-GB"/>
          </w:rPr>
          <w:t>4</w:t>
        </w:r>
        <w:r w:rsidR="00ED0356">
          <w:rPr>
            <w:rStyle w:val="Hyperlink"/>
            <w:rFonts w:ascii="Arial" w:hAnsi="Arial" w:cs="Arial"/>
            <w:sz w:val="21"/>
            <w:szCs w:val="21"/>
            <w:lang w:val="en-GB"/>
          </w:rPr>
          <w:t>.</w:t>
        </w:r>
        <w:r w:rsidR="0005561C">
          <w:rPr>
            <w:rStyle w:val="Hyperlink"/>
            <w:rFonts w:ascii="Arial" w:hAnsi="Arial" w:cs="Arial"/>
            <w:sz w:val="21"/>
            <w:szCs w:val="21"/>
            <w:lang w:val="en-GB"/>
          </w:rPr>
          <w:t>8</w:t>
        </w:r>
        <w:r w:rsidR="006257B1" w:rsidRPr="00C13C15">
          <w:rPr>
            <w:rStyle w:val="Hyperlink"/>
            <w:rFonts w:ascii="Arial" w:hAnsi="Arial" w:cs="Arial"/>
            <w:sz w:val="21"/>
            <w:szCs w:val="21"/>
            <w:lang w:val="en-GB"/>
          </w:rPr>
          <w:t xml:space="preserve"> percent </w:t>
        </w:r>
        <w:r w:rsidR="004B1130">
          <w:rPr>
            <w:rStyle w:val="Hyperlink"/>
            <w:rFonts w:ascii="Arial" w:hAnsi="Arial" w:cs="Arial"/>
            <w:sz w:val="21"/>
            <w:szCs w:val="21"/>
            <w:lang w:val="en-GB"/>
          </w:rPr>
          <w:t xml:space="preserve">increase </w:t>
        </w:r>
        <w:r w:rsidR="006257B1" w:rsidRPr="00710843">
          <w:rPr>
            <w:rStyle w:val="Hyperlink"/>
            <w:rFonts w:ascii="Arial" w:hAnsi="Arial" w:cs="Arial"/>
            <w:sz w:val="21"/>
            <w:szCs w:val="21"/>
            <w:lang w:val="en-GB"/>
          </w:rPr>
          <w:t xml:space="preserve">for the year to the </w:t>
        </w:r>
        <w:r w:rsidR="00ED0356">
          <w:rPr>
            <w:rStyle w:val="Hyperlink"/>
            <w:rFonts w:ascii="Arial" w:hAnsi="Arial" w:cs="Arial"/>
            <w:sz w:val="21"/>
            <w:szCs w:val="21"/>
            <w:lang w:val="en-GB"/>
          </w:rPr>
          <w:t>September</w:t>
        </w:r>
        <w:r w:rsidR="00DB3373" w:rsidRPr="00C13C15">
          <w:rPr>
            <w:rStyle w:val="Hyperlink"/>
            <w:rFonts w:ascii="Arial" w:hAnsi="Arial" w:cs="Arial"/>
            <w:sz w:val="21"/>
            <w:szCs w:val="21"/>
            <w:lang w:val="en-GB"/>
          </w:rPr>
          <w:t xml:space="preserve"> 2018 </w:t>
        </w:r>
        <w:r w:rsidR="006257B1" w:rsidRPr="00C13C15">
          <w:rPr>
            <w:rStyle w:val="Hyperlink"/>
            <w:rFonts w:ascii="Arial" w:hAnsi="Arial" w:cs="Arial"/>
            <w:sz w:val="21"/>
            <w:szCs w:val="21"/>
            <w:lang w:val="en-GB"/>
          </w:rPr>
          <w:t>quarter</w:t>
        </w:r>
      </w:hyperlink>
    </w:p>
    <w:p w14:paraId="199397FC" w14:textId="339C1949" w:rsidR="005F59B0" w:rsidRPr="00170FDC" w:rsidRDefault="00D17E28" w:rsidP="00C86E7A">
      <w:pPr>
        <w:pStyle w:val="ListParagraph"/>
        <w:widowControl w:val="0"/>
        <w:numPr>
          <w:ilvl w:val="0"/>
          <w:numId w:val="22"/>
        </w:numPr>
        <w:autoSpaceDE w:val="0"/>
        <w:autoSpaceDN w:val="0"/>
        <w:adjustRightInd w:val="0"/>
        <w:spacing w:after="240"/>
        <w:rPr>
          <w:rStyle w:val="Hyperlink"/>
          <w:rFonts w:ascii="Arial" w:hAnsi="Arial" w:cs="Arial"/>
          <w:color w:val="000000"/>
          <w:sz w:val="21"/>
          <w:szCs w:val="21"/>
          <w:u w:val="none"/>
          <w:lang w:val="en-GB"/>
        </w:rPr>
      </w:pPr>
      <w:hyperlink w:anchor="RebaseImplemented" w:history="1">
        <w:r w:rsidR="005F59B0" w:rsidRPr="00EC29D8">
          <w:rPr>
            <w:rStyle w:val="Hyperlink"/>
            <w:rFonts w:ascii="Arial" w:hAnsi="Arial" w:cs="Arial"/>
            <w:sz w:val="21"/>
            <w:szCs w:val="21"/>
            <w:lang w:val="en-GB"/>
          </w:rPr>
          <w:t>Rebase of March 2017 quarter now fully implemented</w:t>
        </w:r>
      </w:hyperlink>
      <w:r w:rsidR="005F59B0">
        <w:rPr>
          <w:rStyle w:val="Hyperlink"/>
          <w:rFonts w:ascii="Arial" w:hAnsi="Arial" w:cs="Arial"/>
          <w:color w:val="000000"/>
          <w:sz w:val="21"/>
          <w:szCs w:val="21"/>
          <w:u w:val="none"/>
          <w:lang w:val="en-GB"/>
        </w:rPr>
        <w:t xml:space="preserve"> </w:t>
      </w:r>
    </w:p>
    <w:p w14:paraId="1A15C131" w14:textId="2C7C840E" w:rsidR="00FA4A23" w:rsidRPr="00D16B3E" w:rsidRDefault="00D17E28" w:rsidP="00C86E7A">
      <w:pPr>
        <w:pStyle w:val="ListParagraph"/>
        <w:widowControl w:val="0"/>
        <w:numPr>
          <w:ilvl w:val="0"/>
          <w:numId w:val="22"/>
        </w:numPr>
        <w:autoSpaceDE w:val="0"/>
        <w:autoSpaceDN w:val="0"/>
        <w:adjustRightInd w:val="0"/>
        <w:spacing w:after="240"/>
        <w:rPr>
          <w:rFonts w:ascii="Arial" w:hAnsi="Arial" w:cs="Arial"/>
          <w:color w:val="000000"/>
          <w:sz w:val="21"/>
          <w:szCs w:val="21"/>
          <w:lang w:val="en-GB"/>
        </w:rPr>
      </w:pPr>
      <w:hyperlink w:anchor="Definitions" w:history="1">
        <w:r w:rsidR="005F59B0" w:rsidRPr="00D16B3E">
          <w:rPr>
            <w:rStyle w:val="Hyperlink"/>
            <w:rFonts w:ascii="Arial" w:hAnsi="Arial" w:cs="Arial"/>
            <w:sz w:val="21"/>
            <w:szCs w:val="21"/>
            <w:lang w:val="en-GB"/>
          </w:rPr>
          <w:t>Definitions</w:t>
        </w:r>
      </w:hyperlink>
      <w:r w:rsidR="00293AE6" w:rsidRPr="00170FDC">
        <w:rPr>
          <w:rStyle w:val="Hyperlink"/>
          <w:rFonts w:ascii="Arial" w:hAnsi="Arial" w:cs="Arial"/>
          <w:sz w:val="21"/>
          <w:szCs w:val="21"/>
          <w:u w:val="none"/>
          <w:lang w:val="en-GB"/>
        </w:rPr>
        <w:t>.</w:t>
      </w:r>
    </w:p>
    <w:p w14:paraId="4F48DF59" w14:textId="7E2DBBCF" w:rsidR="006C377E" w:rsidRPr="00C13C15" w:rsidRDefault="00092834" w:rsidP="0045739B">
      <w:pPr>
        <w:pStyle w:val="Heading2"/>
        <w:rPr>
          <w:sz w:val="26"/>
          <w:szCs w:val="26"/>
        </w:rPr>
      </w:pPr>
      <w:bookmarkStart w:id="0" w:name="_CPI_rises_2.1"/>
      <w:bookmarkStart w:id="1" w:name="_Quarterly_CPI_increase"/>
      <w:bookmarkEnd w:id="0"/>
      <w:bookmarkEnd w:id="1"/>
      <w:r w:rsidRPr="00C13C15">
        <w:rPr>
          <w:sz w:val="26"/>
          <w:szCs w:val="26"/>
        </w:rPr>
        <w:t xml:space="preserve">Quarterly CPI </w:t>
      </w:r>
      <w:r w:rsidR="005F59B0">
        <w:rPr>
          <w:sz w:val="26"/>
          <w:szCs w:val="26"/>
        </w:rPr>
        <w:t>i</w:t>
      </w:r>
      <w:r w:rsidR="00ED0356">
        <w:rPr>
          <w:sz w:val="26"/>
          <w:szCs w:val="26"/>
        </w:rPr>
        <w:t>ncrease</w:t>
      </w:r>
      <w:r w:rsidR="000B0327">
        <w:rPr>
          <w:sz w:val="26"/>
          <w:szCs w:val="26"/>
        </w:rPr>
        <w:t xml:space="preserve"> of </w:t>
      </w:r>
      <w:r w:rsidR="00682A92" w:rsidRPr="00170FDC">
        <w:rPr>
          <w:sz w:val="26"/>
          <w:szCs w:val="26"/>
        </w:rPr>
        <w:t>4</w:t>
      </w:r>
      <w:r w:rsidR="000B0327" w:rsidRPr="00682A92">
        <w:rPr>
          <w:sz w:val="26"/>
          <w:szCs w:val="26"/>
        </w:rPr>
        <w:t>.</w:t>
      </w:r>
      <w:r w:rsidR="0005561C">
        <w:rPr>
          <w:sz w:val="26"/>
          <w:szCs w:val="26"/>
        </w:rPr>
        <w:t>2</w:t>
      </w:r>
      <w:r w:rsidRPr="00C13C15">
        <w:rPr>
          <w:sz w:val="26"/>
          <w:szCs w:val="26"/>
        </w:rPr>
        <w:t xml:space="preserve"> percent for </w:t>
      </w:r>
      <w:r w:rsidR="00ED0356">
        <w:rPr>
          <w:sz w:val="26"/>
          <w:szCs w:val="26"/>
        </w:rPr>
        <w:t>September</w:t>
      </w:r>
      <w:r w:rsidR="00DB3373" w:rsidRPr="00C13C15">
        <w:rPr>
          <w:sz w:val="26"/>
          <w:szCs w:val="26"/>
        </w:rPr>
        <w:t xml:space="preserve"> 2018</w:t>
      </w:r>
    </w:p>
    <w:p w14:paraId="1AFE36A1" w14:textId="3B8B021D" w:rsidR="00092834" w:rsidRDefault="00874E5F" w:rsidP="007956E9">
      <w:pPr>
        <w:widowControl w:val="0"/>
        <w:autoSpaceDE w:val="0"/>
        <w:autoSpaceDN w:val="0"/>
        <w:adjustRightInd w:val="0"/>
        <w:spacing w:after="240"/>
        <w:rPr>
          <w:rFonts w:ascii="Arial" w:hAnsi="Arial" w:cs="Arial"/>
          <w:color w:val="000000"/>
          <w:sz w:val="21"/>
          <w:szCs w:val="21"/>
        </w:rPr>
      </w:pPr>
      <w:r>
        <w:rPr>
          <w:rFonts w:ascii="Arial" w:hAnsi="Arial" w:cs="Arial"/>
          <w:color w:val="000000"/>
          <w:sz w:val="21"/>
          <w:szCs w:val="21"/>
        </w:rPr>
        <w:t>T</w:t>
      </w:r>
      <w:r w:rsidR="00092834" w:rsidRPr="00C13C15">
        <w:rPr>
          <w:rFonts w:ascii="Arial" w:hAnsi="Arial" w:cs="Arial"/>
          <w:color w:val="000000"/>
          <w:sz w:val="21"/>
          <w:szCs w:val="21"/>
        </w:rPr>
        <w:t xml:space="preserve">he </w:t>
      </w:r>
      <w:r w:rsidR="00ED0356">
        <w:rPr>
          <w:rFonts w:ascii="Arial" w:hAnsi="Arial" w:cs="Arial"/>
          <w:color w:val="000000"/>
          <w:sz w:val="21"/>
          <w:szCs w:val="21"/>
        </w:rPr>
        <w:t>September</w:t>
      </w:r>
      <w:r w:rsidR="00DB3373" w:rsidRPr="00C13C15">
        <w:rPr>
          <w:rFonts w:ascii="Arial" w:hAnsi="Arial" w:cs="Arial"/>
          <w:color w:val="000000"/>
          <w:sz w:val="21"/>
          <w:szCs w:val="21"/>
        </w:rPr>
        <w:t xml:space="preserve"> </w:t>
      </w:r>
      <w:r w:rsidR="007930CA" w:rsidRPr="00C13C15">
        <w:rPr>
          <w:rFonts w:ascii="Arial" w:hAnsi="Arial" w:cs="Arial"/>
          <w:color w:val="000000"/>
          <w:sz w:val="21"/>
          <w:szCs w:val="21"/>
        </w:rPr>
        <w:t>2018 CPI</w:t>
      </w:r>
      <w:r w:rsidR="00092834" w:rsidRPr="00C13C15">
        <w:rPr>
          <w:rFonts w:ascii="Arial" w:hAnsi="Arial" w:cs="Arial"/>
          <w:color w:val="000000"/>
          <w:sz w:val="21"/>
          <w:szCs w:val="21"/>
        </w:rPr>
        <w:t xml:space="preserve"> </w:t>
      </w:r>
      <w:r w:rsidR="00ED0356">
        <w:rPr>
          <w:rFonts w:ascii="Arial" w:hAnsi="Arial" w:cs="Arial"/>
          <w:color w:val="000000"/>
          <w:sz w:val="21"/>
          <w:szCs w:val="21"/>
        </w:rPr>
        <w:t>rose</w:t>
      </w:r>
      <w:r w:rsidR="004B1130">
        <w:rPr>
          <w:rFonts w:ascii="Arial" w:hAnsi="Arial" w:cs="Arial"/>
          <w:color w:val="000000"/>
          <w:sz w:val="21"/>
          <w:szCs w:val="21"/>
        </w:rPr>
        <w:t xml:space="preserve"> by </w:t>
      </w:r>
      <w:r w:rsidR="00682A92" w:rsidRPr="00170FDC">
        <w:rPr>
          <w:rFonts w:ascii="Arial" w:hAnsi="Arial" w:cs="Arial"/>
          <w:color w:val="000000"/>
          <w:sz w:val="21"/>
          <w:szCs w:val="21"/>
        </w:rPr>
        <w:t>4</w:t>
      </w:r>
      <w:r w:rsidR="004B1130" w:rsidRPr="00682A92">
        <w:rPr>
          <w:rFonts w:ascii="Arial" w:hAnsi="Arial" w:cs="Arial"/>
          <w:color w:val="000000"/>
          <w:sz w:val="21"/>
          <w:szCs w:val="21"/>
        </w:rPr>
        <w:t>.</w:t>
      </w:r>
      <w:r w:rsidR="0005561C">
        <w:rPr>
          <w:rFonts w:ascii="Arial" w:hAnsi="Arial" w:cs="Arial"/>
          <w:color w:val="000000"/>
          <w:sz w:val="21"/>
          <w:szCs w:val="21"/>
        </w:rPr>
        <w:t>2</w:t>
      </w:r>
      <w:r w:rsidR="004B1130">
        <w:rPr>
          <w:rFonts w:ascii="Arial" w:hAnsi="Arial" w:cs="Arial"/>
          <w:color w:val="000000"/>
          <w:sz w:val="21"/>
          <w:szCs w:val="21"/>
        </w:rPr>
        <w:t xml:space="preserve"> </w:t>
      </w:r>
      <w:r w:rsidR="00CE56B5" w:rsidRPr="00C13C15">
        <w:rPr>
          <w:rFonts w:ascii="Arial" w:hAnsi="Arial" w:cs="Arial"/>
          <w:color w:val="000000"/>
          <w:sz w:val="21"/>
          <w:szCs w:val="21"/>
        </w:rPr>
        <w:t xml:space="preserve">percent. </w:t>
      </w:r>
      <w:r w:rsidR="005F59B0">
        <w:rPr>
          <w:rFonts w:ascii="Arial" w:hAnsi="Arial" w:cs="Arial"/>
          <w:color w:val="000000"/>
          <w:sz w:val="21"/>
          <w:szCs w:val="21"/>
        </w:rPr>
        <w:t>By contrast, q</w:t>
      </w:r>
      <w:r w:rsidR="00CE56B5" w:rsidRPr="00C13C15">
        <w:rPr>
          <w:rFonts w:ascii="Arial" w:hAnsi="Arial" w:cs="Arial"/>
          <w:color w:val="000000"/>
          <w:sz w:val="21"/>
          <w:szCs w:val="21"/>
        </w:rPr>
        <w:t>uarterly inflation wa</w:t>
      </w:r>
      <w:r w:rsidR="00092834" w:rsidRPr="00C13C15">
        <w:rPr>
          <w:rFonts w:ascii="Arial" w:hAnsi="Arial" w:cs="Arial"/>
          <w:color w:val="000000"/>
          <w:sz w:val="21"/>
          <w:szCs w:val="21"/>
        </w:rPr>
        <w:t xml:space="preserve">s </w:t>
      </w:r>
      <w:r w:rsidR="00495829">
        <w:rPr>
          <w:rFonts w:ascii="Arial" w:hAnsi="Arial" w:cs="Arial"/>
          <w:color w:val="000000"/>
          <w:sz w:val="21"/>
          <w:szCs w:val="21"/>
        </w:rPr>
        <w:t xml:space="preserve">negative </w:t>
      </w:r>
      <w:r w:rsidR="00495829" w:rsidRPr="00682A92">
        <w:rPr>
          <w:rFonts w:ascii="Arial" w:hAnsi="Arial" w:cs="Arial"/>
          <w:color w:val="000000"/>
          <w:sz w:val="21"/>
          <w:szCs w:val="21"/>
        </w:rPr>
        <w:t>0.</w:t>
      </w:r>
      <w:r w:rsidR="00ED0356" w:rsidRPr="00682A92">
        <w:rPr>
          <w:rFonts w:ascii="Arial" w:hAnsi="Arial" w:cs="Arial"/>
          <w:color w:val="000000"/>
          <w:sz w:val="21"/>
          <w:szCs w:val="21"/>
        </w:rPr>
        <w:t>5</w:t>
      </w:r>
      <w:r w:rsidR="00092834" w:rsidRPr="00C13C15">
        <w:rPr>
          <w:rFonts w:ascii="Arial" w:hAnsi="Arial" w:cs="Arial"/>
          <w:color w:val="000000"/>
          <w:sz w:val="21"/>
          <w:szCs w:val="21"/>
        </w:rPr>
        <w:t xml:space="preserve"> percent </w:t>
      </w:r>
      <w:r w:rsidR="000E303C">
        <w:rPr>
          <w:rFonts w:ascii="Arial" w:hAnsi="Arial" w:cs="Arial"/>
          <w:color w:val="000000"/>
          <w:sz w:val="21"/>
          <w:szCs w:val="21"/>
        </w:rPr>
        <w:t>in</w:t>
      </w:r>
      <w:r w:rsidR="000E303C" w:rsidRPr="00C13C15">
        <w:rPr>
          <w:rFonts w:ascii="Arial" w:hAnsi="Arial" w:cs="Arial"/>
          <w:color w:val="000000"/>
          <w:sz w:val="21"/>
          <w:szCs w:val="21"/>
        </w:rPr>
        <w:t xml:space="preserve"> </w:t>
      </w:r>
      <w:r w:rsidR="00092834" w:rsidRPr="00C13C15">
        <w:rPr>
          <w:rFonts w:ascii="Arial" w:hAnsi="Arial" w:cs="Arial"/>
          <w:color w:val="000000"/>
          <w:sz w:val="21"/>
          <w:szCs w:val="21"/>
        </w:rPr>
        <w:t xml:space="preserve">the </w:t>
      </w:r>
      <w:r w:rsidR="00ED0356">
        <w:rPr>
          <w:rFonts w:ascii="Arial" w:hAnsi="Arial" w:cs="Arial"/>
          <w:color w:val="000000"/>
          <w:sz w:val="21"/>
          <w:szCs w:val="21"/>
        </w:rPr>
        <w:t>June</w:t>
      </w:r>
      <w:r w:rsidR="00283F6A" w:rsidRPr="00C13C15">
        <w:rPr>
          <w:rFonts w:ascii="Arial" w:hAnsi="Arial" w:cs="Arial"/>
          <w:color w:val="000000"/>
          <w:sz w:val="21"/>
          <w:szCs w:val="21"/>
        </w:rPr>
        <w:t xml:space="preserve"> </w:t>
      </w:r>
      <w:r w:rsidR="00092834" w:rsidRPr="00C13C15">
        <w:rPr>
          <w:rFonts w:ascii="Arial" w:hAnsi="Arial" w:cs="Arial"/>
          <w:color w:val="000000"/>
          <w:sz w:val="21"/>
          <w:szCs w:val="21"/>
        </w:rPr>
        <w:t>201</w:t>
      </w:r>
      <w:r w:rsidR="00182B66">
        <w:rPr>
          <w:rFonts w:ascii="Arial" w:hAnsi="Arial" w:cs="Arial"/>
          <w:color w:val="000000"/>
          <w:sz w:val="21"/>
          <w:szCs w:val="21"/>
        </w:rPr>
        <w:t>8</w:t>
      </w:r>
      <w:r w:rsidR="00092834" w:rsidRPr="00C13C15">
        <w:rPr>
          <w:rFonts w:ascii="Arial" w:hAnsi="Arial" w:cs="Arial"/>
          <w:color w:val="000000"/>
          <w:sz w:val="21"/>
          <w:szCs w:val="21"/>
        </w:rPr>
        <w:t xml:space="preserve"> quarter.</w:t>
      </w:r>
    </w:p>
    <w:p w14:paraId="5D51F84A" w14:textId="74F157DB" w:rsidR="005F59B0" w:rsidRDefault="004A6F9A" w:rsidP="007956E9">
      <w:pPr>
        <w:widowControl w:val="0"/>
        <w:autoSpaceDE w:val="0"/>
        <w:autoSpaceDN w:val="0"/>
        <w:adjustRightInd w:val="0"/>
        <w:spacing w:after="240"/>
        <w:rPr>
          <w:rFonts w:ascii="Arial" w:hAnsi="Arial" w:cs="Arial"/>
          <w:color w:val="000000"/>
          <w:sz w:val="21"/>
          <w:szCs w:val="21"/>
        </w:rPr>
      </w:pPr>
      <w:r>
        <w:rPr>
          <w:rFonts w:ascii="Arial" w:hAnsi="Arial" w:cs="Arial"/>
          <w:color w:val="000000"/>
          <w:sz w:val="21"/>
          <w:szCs w:val="21"/>
        </w:rPr>
        <w:t>Two</w:t>
      </w:r>
      <w:r w:rsidR="002645AD">
        <w:rPr>
          <w:rFonts w:ascii="Arial" w:hAnsi="Arial" w:cs="Arial"/>
          <w:color w:val="000000"/>
          <w:sz w:val="21"/>
          <w:szCs w:val="21"/>
        </w:rPr>
        <w:t xml:space="preserve"> </w:t>
      </w:r>
      <w:r w:rsidR="00495829">
        <w:rPr>
          <w:rFonts w:ascii="Arial" w:hAnsi="Arial" w:cs="Arial"/>
          <w:color w:val="000000"/>
          <w:sz w:val="21"/>
          <w:szCs w:val="21"/>
        </w:rPr>
        <w:t xml:space="preserve">of the CPI’s nine groups recorded price </w:t>
      </w:r>
      <w:r w:rsidR="00ED0356">
        <w:rPr>
          <w:rFonts w:ascii="Arial" w:hAnsi="Arial" w:cs="Arial"/>
          <w:color w:val="000000"/>
          <w:sz w:val="21"/>
          <w:szCs w:val="21"/>
        </w:rPr>
        <w:t>increases</w:t>
      </w:r>
      <w:r w:rsidR="000B0327">
        <w:rPr>
          <w:rFonts w:ascii="Arial" w:hAnsi="Arial" w:cs="Arial"/>
          <w:color w:val="000000"/>
          <w:sz w:val="21"/>
          <w:szCs w:val="21"/>
        </w:rPr>
        <w:t xml:space="preserve"> for the </w:t>
      </w:r>
      <w:r w:rsidR="00ED0356">
        <w:rPr>
          <w:rFonts w:ascii="Arial" w:hAnsi="Arial" w:cs="Arial"/>
          <w:color w:val="000000"/>
          <w:sz w:val="21"/>
          <w:szCs w:val="21"/>
        </w:rPr>
        <w:t>September</w:t>
      </w:r>
      <w:r w:rsidR="000B0327">
        <w:rPr>
          <w:rFonts w:ascii="Arial" w:hAnsi="Arial" w:cs="Arial"/>
          <w:color w:val="000000"/>
          <w:sz w:val="21"/>
          <w:szCs w:val="21"/>
        </w:rPr>
        <w:t xml:space="preserve"> 2018 quarter, </w:t>
      </w:r>
      <w:r>
        <w:rPr>
          <w:rFonts w:ascii="Arial" w:hAnsi="Arial" w:cs="Arial"/>
          <w:color w:val="000000"/>
          <w:sz w:val="21"/>
          <w:szCs w:val="21"/>
        </w:rPr>
        <w:t>three</w:t>
      </w:r>
      <w:r w:rsidR="00495829">
        <w:rPr>
          <w:rFonts w:ascii="Arial" w:hAnsi="Arial" w:cs="Arial"/>
          <w:color w:val="000000"/>
          <w:sz w:val="21"/>
          <w:szCs w:val="21"/>
        </w:rPr>
        <w:t xml:space="preserve"> groups recorded price </w:t>
      </w:r>
      <w:r w:rsidR="00D1126C">
        <w:rPr>
          <w:rFonts w:ascii="Arial" w:hAnsi="Arial" w:cs="Arial"/>
          <w:color w:val="000000"/>
          <w:sz w:val="21"/>
          <w:szCs w:val="21"/>
        </w:rPr>
        <w:t>decreases</w:t>
      </w:r>
      <w:r w:rsidR="00495829">
        <w:rPr>
          <w:rFonts w:ascii="Arial" w:hAnsi="Arial" w:cs="Arial"/>
          <w:color w:val="000000"/>
          <w:sz w:val="21"/>
          <w:szCs w:val="21"/>
        </w:rPr>
        <w:t xml:space="preserve"> and </w:t>
      </w:r>
      <w:r>
        <w:rPr>
          <w:rFonts w:ascii="Arial" w:hAnsi="Arial" w:cs="Arial"/>
          <w:color w:val="000000"/>
          <w:sz w:val="21"/>
          <w:szCs w:val="21"/>
        </w:rPr>
        <w:t>four</w:t>
      </w:r>
      <w:r w:rsidR="002645AD">
        <w:rPr>
          <w:rFonts w:ascii="Arial" w:hAnsi="Arial" w:cs="Arial"/>
          <w:color w:val="000000"/>
          <w:sz w:val="21"/>
          <w:szCs w:val="21"/>
        </w:rPr>
        <w:t xml:space="preserve"> </w:t>
      </w:r>
      <w:r w:rsidR="00495829">
        <w:rPr>
          <w:rFonts w:ascii="Arial" w:hAnsi="Arial" w:cs="Arial"/>
          <w:color w:val="000000"/>
          <w:sz w:val="21"/>
          <w:szCs w:val="21"/>
        </w:rPr>
        <w:t xml:space="preserve">remained unchanged. </w:t>
      </w:r>
    </w:p>
    <w:p w14:paraId="48B6C650" w14:textId="510DDCB8" w:rsidR="004A6F9A" w:rsidRDefault="004A6F9A" w:rsidP="004A6F9A">
      <w:pPr>
        <w:rPr>
          <w:rFonts w:ascii="Arial" w:hAnsi="Arial" w:cs="Arial"/>
          <w:sz w:val="21"/>
          <w:szCs w:val="21"/>
          <w:lang w:val="en-GB" w:eastAsia="en-US"/>
        </w:rPr>
      </w:pPr>
      <w:r>
        <w:rPr>
          <w:rFonts w:ascii="Arial" w:hAnsi="Arial" w:cs="Arial"/>
          <w:sz w:val="21"/>
          <w:szCs w:val="21"/>
          <w:lang w:val="en-GB" w:eastAsia="en-US"/>
        </w:rPr>
        <w:t xml:space="preserve">Prices in the Food and non-alcoholic beverages group increased </w:t>
      </w:r>
      <w:r w:rsidR="0005561C">
        <w:rPr>
          <w:rFonts w:ascii="Arial" w:hAnsi="Arial" w:cs="Arial"/>
          <w:sz w:val="21"/>
          <w:szCs w:val="21"/>
          <w:lang w:val="en-GB" w:eastAsia="en-US"/>
        </w:rPr>
        <w:t>5</w:t>
      </w:r>
      <w:r w:rsidRPr="00905587">
        <w:rPr>
          <w:rFonts w:ascii="Arial" w:hAnsi="Arial" w:cs="Arial"/>
          <w:sz w:val="21"/>
          <w:szCs w:val="21"/>
          <w:lang w:val="en-GB" w:eastAsia="en-US"/>
        </w:rPr>
        <w:t>.</w:t>
      </w:r>
      <w:r w:rsidR="0005561C">
        <w:rPr>
          <w:rFonts w:ascii="Arial" w:hAnsi="Arial" w:cs="Arial"/>
          <w:sz w:val="21"/>
          <w:szCs w:val="21"/>
          <w:lang w:val="en-GB" w:eastAsia="en-US"/>
        </w:rPr>
        <w:t>5</w:t>
      </w:r>
      <w:r>
        <w:rPr>
          <w:rFonts w:ascii="Arial" w:hAnsi="Arial" w:cs="Arial"/>
          <w:sz w:val="21"/>
          <w:szCs w:val="21"/>
          <w:lang w:val="en-GB" w:eastAsia="en-US"/>
        </w:rPr>
        <w:t xml:space="preserve"> percent, contributing a positive </w:t>
      </w:r>
      <w:r w:rsidR="0005561C">
        <w:rPr>
          <w:rFonts w:ascii="Arial" w:hAnsi="Arial" w:cs="Arial"/>
          <w:sz w:val="21"/>
          <w:szCs w:val="21"/>
          <w:lang w:val="en-GB" w:eastAsia="en-US"/>
        </w:rPr>
        <w:t>1</w:t>
      </w:r>
      <w:r w:rsidRPr="00905587">
        <w:rPr>
          <w:rFonts w:ascii="Arial" w:hAnsi="Arial" w:cs="Arial"/>
          <w:sz w:val="21"/>
          <w:szCs w:val="21"/>
          <w:lang w:val="en-GB" w:eastAsia="en-US"/>
        </w:rPr>
        <w:t>.</w:t>
      </w:r>
      <w:r w:rsidR="0005561C">
        <w:rPr>
          <w:rFonts w:ascii="Arial" w:hAnsi="Arial" w:cs="Arial"/>
          <w:sz w:val="21"/>
          <w:szCs w:val="21"/>
          <w:lang w:val="en-GB" w:eastAsia="en-US"/>
        </w:rPr>
        <w:t>8</w:t>
      </w:r>
      <w:r>
        <w:rPr>
          <w:rFonts w:ascii="Arial" w:hAnsi="Arial" w:cs="Arial"/>
          <w:sz w:val="21"/>
          <w:szCs w:val="21"/>
          <w:lang w:val="en-GB" w:eastAsia="en-US"/>
        </w:rPr>
        <w:t xml:space="preserve"> percent to quarterly CPI. </w:t>
      </w:r>
    </w:p>
    <w:p w14:paraId="699E6BFD" w14:textId="60A658D4" w:rsidR="005C3750" w:rsidRDefault="005C3750" w:rsidP="007956E9">
      <w:pPr>
        <w:widowControl w:val="0"/>
        <w:autoSpaceDE w:val="0"/>
        <w:autoSpaceDN w:val="0"/>
        <w:adjustRightInd w:val="0"/>
        <w:spacing w:after="240"/>
        <w:rPr>
          <w:rFonts w:ascii="Arial" w:hAnsi="Arial" w:cs="Arial"/>
          <w:color w:val="000000"/>
          <w:sz w:val="21"/>
          <w:szCs w:val="21"/>
        </w:rPr>
      </w:pPr>
      <w:r>
        <w:rPr>
          <w:rFonts w:ascii="Arial" w:hAnsi="Arial" w:cs="Arial"/>
          <w:color w:val="000000"/>
          <w:sz w:val="21"/>
          <w:szCs w:val="21"/>
        </w:rPr>
        <w:t xml:space="preserve">The main individual </w:t>
      </w:r>
      <w:r w:rsidR="00D1126C">
        <w:rPr>
          <w:rFonts w:ascii="Arial" w:hAnsi="Arial" w:cs="Arial"/>
          <w:color w:val="000000"/>
          <w:sz w:val="21"/>
          <w:szCs w:val="21"/>
        </w:rPr>
        <w:t>up</w:t>
      </w:r>
      <w:r>
        <w:rPr>
          <w:rFonts w:ascii="Arial" w:hAnsi="Arial" w:cs="Arial"/>
          <w:color w:val="000000"/>
          <w:sz w:val="21"/>
          <w:szCs w:val="21"/>
        </w:rPr>
        <w:t xml:space="preserve">ward contributions to the food subgroup came from </w:t>
      </w:r>
      <w:r w:rsidR="00E51DA1">
        <w:rPr>
          <w:rFonts w:ascii="Arial" w:hAnsi="Arial" w:cs="Arial"/>
          <w:color w:val="000000"/>
          <w:sz w:val="21"/>
          <w:szCs w:val="21"/>
        </w:rPr>
        <w:t>higher</w:t>
      </w:r>
      <w:r>
        <w:rPr>
          <w:rFonts w:ascii="Arial" w:hAnsi="Arial" w:cs="Arial"/>
          <w:color w:val="000000"/>
          <w:sz w:val="21"/>
          <w:szCs w:val="21"/>
        </w:rPr>
        <w:t xml:space="preserve"> prices for:</w:t>
      </w:r>
    </w:p>
    <w:p w14:paraId="7DA1B447" w14:textId="7D1D7861" w:rsidR="005C3750" w:rsidRPr="00F67E05" w:rsidRDefault="002042C2" w:rsidP="005A4520">
      <w:pPr>
        <w:pStyle w:val="ListParagraph"/>
        <w:widowControl w:val="0"/>
        <w:numPr>
          <w:ilvl w:val="0"/>
          <w:numId w:val="36"/>
        </w:numPr>
        <w:autoSpaceDE w:val="0"/>
        <w:autoSpaceDN w:val="0"/>
        <w:adjustRightInd w:val="0"/>
        <w:spacing w:after="240"/>
        <w:rPr>
          <w:rFonts w:ascii="Arial" w:hAnsi="Arial" w:cs="Arial"/>
          <w:color w:val="000000"/>
          <w:sz w:val="21"/>
          <w:szCs w:val="21"/>
        </w:rPr>
      </w:pPr>
      <w:r>
        <w:rPr>
          <w:rFonts w:ascii="Arial" w:hAnsi="Arial" w:cs="Arial"/>
          <w:color w:val="000000"/>
          <w:sz w:val="21"/>
          <w:szCs w:val="21"/>
        </w:rPr>
        <w:t>Rice</w:t>
      </w:r>
      <w:r w:rsidR="00C06DA9" w:rsidRPr="00F67E05">
        <w:rPr>
          <w:rFonts w:ascii="Arial" w:hAnsi="Arial" w:cs="Arial"/>
          <w:color w:val="000000"/>
          <w:sz w:val="21"/>
          <w:szCs w:val="21"/>
        </w:rPr>
        <w:t xml:space="preserve"> (</w:t>
      </w:r>
      <w:r w:rsidR="00E51DA1" w:rsidRPr="00F67E05">
        <w:rPr>
          <w:rFonts w:ascii="Arial" w:hAnsi="Arial" w:cs="Arial"/>
          <w:color w:val="000000"/>
          <w:sz w:val="21"/>
          <w:szCs w:val="21"/>
        </w:rPr>
        <w:t>up</w:t>
      </w:r>
      <w:r w:rsidR="00C06DA9" w:rsidRPr="00F67E05">
        <w:rPr>
          <w:rFonts w:ascii="Arial" w:hAnsi="Arial" w:cs="Arial"/>
          <w:color w:val="000000"/>
          <w:sz w:val="21"/>
          <w:szCs w:val="21"/>
        </w:rPr>
        <w:t xml:space="preserve"> </w:t>
      </w:r>
      <w:r>
        <w:rPr>
          <w:rFonts w:ascii="Arial" w:hAnsi="Arial" w:cs="Arial"/>
          <w:color w:val="000000"/>
          <w:sz w:val="21"/>
          <w:szCs w:val="21"/>
        </w:rPr>
        <w:t>38</w:t>
      </w:r>
      <w:r w:rsidR="00A02B6C" w:rsidRPr="00F67E05">
        <w:rPr>
          <w:rFonts w:ascii="Arial" w:hAnsi="Arial" w:cs="Arial"/>
          <w:color w:val="000000"/>
          <w:sz w:val="21"/>
          <w:szCs w:val="21"/>
        </w:rPr>
        <w:t xml:space="preserve"> </w:t>
      </w:r>
      <w:r w:rsidR="00C06DA9" w:rsidRPr="00F67E05">
        <w:rPr>
          <w:rFonts w:ascii="Arial" w:hAnsi="Arial" w:cs="Arial"/>
          <w:color w:val="000000"/>
          <w:sz w:val="21"/>
          <w:szCs w:val="21"/>
        </w:rPr>
        <w:t>percent)</w:t>
      </w:r>
    </w:p>
    <w:p w14:paraId="463C47D7" w14:textId="519DA982" w:rsidR="00C06DA9" w:rsidRPr="00F67E05" w:rsidRDefault="002042C2" w:rsidP="005A4520">
      <w:pPr>
        <w:pStyle w:val="ListParagraph"/>
        <w:widowControl w:val="0"/>
        <w:numPr>
          <w:ilvl w:val="0"/>
          <w:numId w:val="36"/>
        </w:numPr>
        <w:autoSpaceDE w:val="0"/>
        <w:autoSpaceDN w:val="0"/>
        <w:adjustRightInd w:val="0"/>
        <w:spacing w:after="240"/>
        <w:rPr>
          <w:rFonts w:ascii="Arial" w:hAnsi="Arial" w:cs="Arial"/>
          <w:color w:val="000000"/>
          <w:sz w:val="21"/>
          <w:szCs w:val="21"/>
        </w:rPr>
      </w:pPr>
      <w:r>
        <w:rPr>
          <w:rFonts w:ascii="Arial" w:hAnsi="Arial" w:cs="Arial"/>
          <w:color w:val="000000"/>
          <w:sz w:val="21"/>
          <w:szCs w:val="21"/>
        </w:rPr>
        <w:t>Chicken</w:t>
      </w:r>
      <w:r w:rsidR="002E63E6">
        <w:rPr>
          <w:rFonts w:ascii="Arial" w:hAnsi="Arial" w:cs="Arial"/>
          <w:color w:val="000000"/>
          <w:sz w:val="21"/>
          <w:szCs w:val="21"/>
        </w:rPr>
        <w:t xml:space="preserve"> </w:t>
      </w:r>
      <w:r w:rsidR="00C06DA9" w:rsidRPr="00F67E05">
        <w:rPr>
          <w:rFonts w:ascii="Arial" w:hAnsi="Arial" w:cs="Arial"/>
          <w:color w:val="000000"/>
          <w:sz w:val="21"/>
          <w:szCs w:val="21"/>
        </w:rPr>
        <w:t>(</w:t>
      </w:r>
      <w:r w:rsidR="00E51DA1" w:rsidRPr="00F67E05">
        <w:rPr>
          <w:rFonts w:ascii="Arial" w:hAnsi="Arial" w:cs="Arial"/>
          <w:color w:val="000000"/>
          <w:sz w:val="21"/>
          <w:szCs w:val="21"/>
        </w:rPr>
        <w:t>up</w:t>
      </w:r>
      <w:r w:rsidR="00C06DA9" w:rsidRPr="00F67E05">
        <w:rPr>
          <w:rFonts w:ascii="Arial" w:hAnsi="Arial" w:cs="Arial"/>
          <w:color w:val="000000"/>
          <w:sz w:val="21"/>
          <w:szCs w:val="21"/>
        </w:rPr>
        <w:t xml:space="preserve"> </w:t>
      </w:r>
      <w:r>
        <w:rPr>
          <w:rFonts w:ascii="Arial" w:hAnsi="Arial" w:cs="Arial"/>
          <w:color w:val="000000"/>
          <w:sz w:val="21"/>
          <w:szCs w:val="21"/>
        </w:rPr>
        <w:t>11</w:t>
      </w:r>
      <w:r w:rsidR="00C06DA9" w:rsidRPr="00F67E05">
        <w:rPr>
          <w:rFonts w:ascii="Arial" w:hAnsi="Arial" w:cs="Arial"/>
          <w:color w:val="000000"/>
          <w:sz w:val="21"/>
          <w:szCs w:val="21"/>
        </w:rPr>
        <w:t xml:space="preserve"> percent)</w:t>
      </w:r>
    </w:p>
    <w:p w14:paraId="4FEE5CC3" w14:textId="5767A867" w:rsidR="00C06DA9" w:rsidRDefault="002042C2" w:rsidP="005A4520">
      <w:pPr>
        <w:pStyle w:val="ListParagraph"/>
        <w:widowControl w:val="0"/>
        <w:numPr>
          <w:ilvl w:val="0"/>
          <w:numId w:val="36"/>
        </w:numPr>
        <w:autoSpaceDE w:val="0"/>
        <w:autoSpaceDN w:val="0"/>
        <w:adjustRightInd w:val="0"/>
        <w:spacing w:after="240"/>
        <w:rPr>
          <w:rFonts w:ascii="Arial" w:hAnsi="Arial" w:cs="Arial"/>
          <w:color w:val="000000"/>
          <w:sz w:val="21"/>
          <w:szCs w:val="21"/>
        </w:rPr>
      </w:pPr>
      <w:proofErr w:type="spellStart"/>
      <w:r>
        <w:rPr>
          <w:rFonts w:ascii="Arial" w:hAnsi="Arial" w:cs="Arial"/>
          <w:color w:val="000000"/>
          <w:sz w:val="21"/>
          <w:szCs w:val="21"/>
        </w:rPr>
        <w:t>Longlife</w:t>
      </w:r>
      <w:proofErr w:type="spellEnd"/>
      <w:r>
        <w:rPr>
          <w:rFonts w:ascii="Arial" w:hAnsi="Arial" w:cs="Arial"/>
          <w:color w:val="000000"/>
          <w:sz w:val="21"/>
          <w:szCs w:val="21"/>
        </w:rPr>
        <w:t xml:space="preserve"> milk</w:t>
      </w:r>
      <w:r w:rsidR="00C06DA9" w:rsidRPr="00F67E05">
        <w:rPr>
          <w:rFonts w:ascii="Arial" w:hAnsi="Arial" w:cs="Arial"/>
          <w:color w:val="000000"/>
          <w:sz w:val="21"/>
          <w:szCs w:val="21"/>
        </w:rPr>
        <w:t xml:space="preserve"> (</w:t>
      </w:r>
      <w:r w:rsidR="00E51DA1" w:rsidRPr="00F67E05">
        <w:rPr>
          <w:rFonts w:ascii="Arial" w:hAnsi="Arial" w:cs="Arial"/>
          <w:color w:val="000000"/>
          <w:sz w:val="21"/>
          <w:szCs w:val="21"/>
        </w:rPr>
        <w:t>up</w:t>
      </w:r>
      <w:r w:rsidR="00C06DA9" w:rsidRPr="00F67E05">
        <w:rPr>
          <w:rFonts w:ascii="Arial" w:hAnsi="Arial" w:cs="Arial"/>
          <w:color w:val="000000"/>
          <w:sz w:val="21"/>
          <w:szCs w:val="21"/>
        </w:rPr>
        <w:t xml:space="preserve"> </w:t>
      </w:r>
      <w:r>
        <w:rPr>
          <w:rFonts w:ascii="Arial" w:hAnsi="Arial" w:cs="Arial"/>
          <w:color w:val="000000"/>
          <w:sz w:val="21"/>
          <w:szCs w:val="21"/>
        </w:rPr>
        <w:t>10</w:t>
      </w:r>
      <w:r w:rsidR="00C06DA9" w:rsidRPr="00F67E05">
        <w:rPr>
          <w:rFonts w:ascii="Arial" w:hAnsi="Arial" w:cs="Arial"/>
          <w:color w:val="000000"/>
          <w:sz w:val="21"/>
          <w:szCs w:val="21"/>
        </w:rPr>
        <w:t xml:space="preserve"> percent</w:t>
      </w:r>
      <w:r w:rsidR="00C06DA9">
        <w:rPr>
          <w:rFonts w:ascii="Arial" w:hAnsi="Arial" w:cs="Arial"/>
          <w:color w:val="000000"/>
          <w:sz w:val="21"/>
          <w:szCs w:val="21"/>
        </w:rPr>
        <w:t>)</w:t>
      </w:r>
      <w:r w:rsidR="00D6094B">
        <w:rPr>
          <w:rFonts w:ascii="Arial" w:hAnsi="Arial" w:cs="Arial"/>
          <w:color w:val="000000"/>
          <w:sz w:val="21"/>
          <w:szCs w:val="21"/>
        </w:rPr>
        <w:t>.</w:t>
      </w:r>
    </w:p>
    <w:p w14:paraId="104F72CC" w14:textId="52A949FB" w:rsidR="00C06DA9" w:rsidRDefault="00C06DA9" w:rsidP="00C06DA9">
      <w:pPr>
        <w:widowControl w:val="0"/>
        <w:autoSpaceDE w:val="0"/>
        <w:autoSpaceDN w:val="0"/>
        <w:adjustRightInd w:val="0"/>
        <w:spacing w:after="240"/>
        <w:rPr>
          <w:rFonts w:ascii="Arial" w:hAnsi="Arial" w:cs="Arial"/>
          <w:color w:val="000000"/>
          <w:sz w:val="21"/>
          <w:szCs w:val="21"/>
        </w:rPr>
      </w:pPr>
      <w:r>
        <w:rPr>
          <w:rFonts w:ascii="Arial" w:hAnsi="Arial" w:cs="Arial"/>
          <w:color w:val="000000"/>
          <w:sz w:val="21"/>
          <w:szCs w:val="21"/>
        </w:rPr>
        <w:t xml:space="preserve">The main individual </w:t>
      </w:r>
      <w:r w:rsidR="00D1126C">
        <w:rPr>
          <w:rFonts w:ascii="Arial" w:hAnsi="Arial" w:cs="Arial"/>
          <w:color w:val="000000"/>
          <w:sz w:val="21"/>
          <w:szCs w:val="21"/>
        </w:rPr>
        <w:t>down</w:t>
      </w:r>
      <w:r>
        <w:rPr>
          <w:rFonts w:ascii="Arial" w:hAnsi="Arial" w:cs="Arial"/>
          <w:color w:val="000000"/>
          <w:sz w:val="21"/>
          <w:szCs w:val="21"/>
        </w:rPr>
        <w:t>ward contributions to the food subgroup came from lower prices for:</w:t>
      </w:r>
    </w:p>
    <w:p w14:paraId="4FF76FB8" w14:textId="5244AF00" w:rsidR="00C06DA9" w:rsidRDefault="00E51DA1" w:rsidP="005A4520">
      <w:pPr>
        <w:pStyle w:val="ListParagraph"/>
        <w:widowControl w:val="0"/>
        <w:numPr>
          <w:ilvl w:val="0"/>
          <w:numId w:val="37"/>
        </w:numPr>
        <w:autoSpaceDE w:val="0"/>
        <w:autoSpaceDN w:val="0"/>
        <w:adjustRightInd w:val="0"/>
        <w:spacing w:after="240"/>
        <w:rPr>
          <w:rFonts w:ascii="Arial" w:hAnsi="Arial" w:cs="Arial"/>
          <w:color w:val="000000"/>
          <w:sz w:val="21"/>
          <w:szCs w:val="21"/>
        </w:rPr>
      </w:pPr>
      <w:r>
        <w:rPr>
          <w:rFonts w:ascii="Arial" w:hAnsi="Arial" w:cs="Arial"/>
          <w:color w:val="000000"/>
          <w:sz w:val="21"/>
          <w:szCs w:val="21"/>
        </w:rPr>
        <w:t>Cheese-flavoured corn snack</w:t>
      </w:r>
      <w:r w:rsidR="005F59B0">
        <w:rPr>
          <w:rFonts w:ascii="Arial" w:hAnsi="Arial" w:cs="Arial"/>
          <w:color w:val="000000"/>
          <w:sz w:val="21"/>
          <w:szCs w:val="21"/>
        </w:rPr>
        <w:t>s</w:t>
      </w:r>
      <w:r w:rsidR="00C06DA9">
        <w:rPr>
          <w:rFonts w:ascii="Arial" w:hAnsi="Arial" w:cs="Arial"/>
          <w:color w:val="000000"/>
          <w:sz w:val="21"/>
          <w:szCs w:val="21"/>
        </w:rPr>
        <w:t xml:space="preserve"> (</w:t>
      </w:r>
      <w:r>
        <w:rPr>
          <w:rFonts w:ascii="Arial" w:hAnsi="Arial" w:cs="Arial"/>
          <w:color w:val="000000"/>
          <w:sz w:val="21"/>
          <w:szCs w:val="21"/>
        </w:rPr>
        <w:t>down</w:t>
      </w:r>
      <w:r w:rsidR="00C06DA9">
        <w:rPr>
          <w:rFonts w:ascii="Arial" w:hAnsi="Arial" w:cs="Arial"/>
          <w:color w:val="000000"/>
          <w:sz w:val="21"/>
          <w:szCs w:val="21"/>
        </w:rPr>
        <w:t xml:space="preserve"> </w:t>
      </w:r>
      <w:r w:rsidRPr="00F67E05">
        <w:rPr>
          <w:rFonts w:ascii="Arial" w:hAnsi="Arial" w:cs="Arial"/>
          <w:color w:val="000000"/>
          <w:sz w:val="21"/>
          <w:szCs w:val="21"/>
        </w:rPr>
        <w:t>46</w:t>
      </w:r>
      <w:r w:rsidR="00C06DA9">
        <w:rPr>
          <w:rFonts w:ascii="Arial" w:hAnsi="Arial" w:cs="Arial"/>
          <w:color w:val="000000"/>
          <w:sz w:val="21"/>
          <w:szCs w:val="21"/>
        </w:rPr>
        <w:t xml:space="preserve"> percent)</w:t>
      </w:r>
    </w:p>
    <w:p w14:paraId="16A737B3" w14:textId="27E8B3C7" w:rsidR="00C06DA9" w:rsidRPr="00F67E05" w:rsidRDefault="002042C2" w:rsidP="005A4520">
      <w:pPr>
        <w:pStyle w:val="ListParagraph"/>
        <w:widowControl w:val="0"/>
        <w:numPr>
          <w:ilvl w:val="0"/>
          <w:numId w:val="37"/>
        </w:numPr>
        <w:autoSpaceDE w:val="0"/>
        <w:autoSpaceDN w:val="0"/>
        <w:adjustRightInd w:val="0"/>
        <w:spacing w:after="240"/>
        <w:rPr>
          <w:rFonts w:ascii="Arial" w:hAnsi="Arial" w:cs="Arial"/>
          <w:color w:val="000000"/>
          <w:sz w:val="21"/>
          <w:szCs w:val="21"/>
        </w:rPr>
      </w:pPr>
      <w:r>
        <w:rPr>
          <w:rFonts w:ascii="Arial" w:hAnsi="Arial" w:cs="Arial"/>
          <w:color w:val="000000"/>
          <w:sz w:val="21"/>
          <w:szCs w:val="21"/>
        </w:rPr>
        <w:t>Potatoes</w:t>
      </w:r>
      <w:r w:rsidR="0043492F">
        <w:rPr>
          <w:rFonts w:ascii="Arial" w:hAnsi="Arial" w:cs="Arial"/>
          <w:color w:val="000000"/>
          <w:sz w:val="21"/>
          <w:szCs w:val="21"/>
        </w:rPr>
        <w:t xml:space="preserve"> (</w:t>
      </w:r>
      <w:r w:rsidR="00E51DA1">
        <w:rPr>
          <w:rFonts w:ascii="Arial" w:hAnsi="Arial" w:cs="Arial"/>
          <w:color w:val="000000"/>
          <w:sz w:val="21"/>
          <w:szCs w:val="21"/>
        </w:rPr>
        <w:t>d</w:t>
      </w:r>
      <w:r w:rsidR="00E51DA1" w:rsidRPr="00F67E05">
        <w:rPr>
          <w:rFonts w:ascii="Arial" w:hAnsi="Arial" w:cs="Arial"/>
          <w:color w:val="000000"/>
          <w:sz w:val="21"/>
          <w:szCs w:val="21"/>
        </w:rPr>
        <w:t>own</w:t>
      </w:r>
      <w:r w:rsidR="0043492F" w:rsidRPr="00F67E05">
        <w:rPr>
          <w:rFonts w:ascii="Arial" w:hAnsi="Arial" w:cs="Arial"/>
          <w:color w:val="000000"/>
          <w:sz w:val="21"/>
          <w:szCs w:val="21"/>
        </w:rPr>
        <w:t xml:space="preserve"> </w:t>
      </w:r>
      <w:r>
        <w:rPr>
          <w:rFonts w:ascii="Arial" w:hAnsi="Arial" w:cs="Arial"/>
          <w:color w:val="000000"/>
          <w:sz w:val="21"/>
          <w:szCs w:val="21"/>
        </w:rPr>
        <w:t>14</w:t>
      </w:r>
      <w:r w:rsidR="0043492F" w:rsidRPr="00F67E05">
        <w:rPr>
          <w:rFonts w:ascii="Arial" w:hAnsi="Arial" w:cs="Arial"/>
          <w:color w:val="000000"/>
          <w:sz w:val="21"/>
          <w:szCs w:val="21"/>
        </w:rPr>
        <w:t xml:space="preserve"> percent)</w:t>
      </w:r>
    </w:p>
    <w:p w14:paraId="1C68A8CD" w14:textId="4575048F" w:rsidR="00476E65" w:rsidRPr="00170FDC" w:rsidRDefault="0043492F">
      <w:pPr>
        <w:pStyle w:val="ListParagraph"/>
        <w:widowControl w:val="0"/>
        <w:numPr>
          <w:ilvl w:val="0"/>
          <w:numId w:val="37"/>
        </w:numPr>
        <w:autoSpaceDE w:val="0"/>
        <w:autoSpaceDN w:val="0"/>
        <w:adjustRightInd w:val="0"/>
        <w:spacing w:after="240"/>
        <w:jc w:val="both"/>
        <w:rPr>
          <w:rFonts w:ascii="Arial" w:hAnsi="Arial" w:cs="Arial"/>
          <w:b/>
          <w:color w:val="000000"/>
          <w:sz w:val="21"/>
          <w:szCs w:val="21"/>
        </w:rPr>
      </w:pPr>
      <w:r w:rsidRPr="00F67E05">
        <w:rPr>
          <w:rFonts w:ascii="Arial" w:hAnsi="Arial" w:cs="Arial"/>
          <w:color w:val="000000"/>
          <w:sz w:val="21"/>
          <w:szCs w:val="21"/>
        </w:rPr>
        <w:t>Cabbage</w:t>
      </w:r>
      <w:r w:rsidR="00E51DA1" w:rsidRPr="00F67E05">
        <w:rPr>
          <w:rFonts w:ascii="Arial" w:hAnsi="Arial" w:cs="Arial"/>
          <w:color w:val="000000"/>
          <w:sz w:val="21"/>
          <w:szCs w:val="21"/>
        </w:rPr>
        <w:t>s</w:t>
      </w:r>
      <w:r w:rsidRPr="00F67E05">
        <w:rPr>
          <w:rFonts w:ascii="Arial" w:hAnsi="Arial" w:cs="Arial"/>
          <w:color w:val="000000"/>
          <w:sz w:val="21"/>
          <w:szCs w:val="21"/>
        </w:rPr>
        <w:t xml:space="preserve"> (</w:t>
      </w:r>
      <w:r w:rsidR="00E51DA1" w:rsidRPr="00F67E05">
        <w:rPr>
          <w:rFonts w:ascii="Arial" w:hAnsi="Arial" w:cs="Arial"/>
          <w:color w:val="000000"/>
          <w:sz w:val="21"/>
          <w:szCs w:val="21"/>
        </w:rPr>
        <w:t>down</w:t>
      </w:r>
      <w:r>
        <w:rPr>
          <w:rFonts w:ascii="Arial" w:hAnsi="Arial" w:cs="Arial"/>
          <w:color w:val="000000"/>
          <w:sz w:val="21"/>
          <w:szCs w:val="21"/>
        </w:rPr>
        <w:t xml:space="preserve"> </w:t>
      </w:r>
      <w:r w:rsidR="00E51DA1" w:rsidRPr="00F67E05">
        <w:rPr>
          <w:rFonts w:ascii="Arial" w:hAnsi="Arial" w:cs="Arial"/>
          <w:color w:val="000000"/>
          <w:sz w:val="21"/>
          <w:szCs w:val="21"/>
        </w:rPr>
        <w:t>32</w:t>
      </w:r>
      <w:r w:rsidRPr="00170FDC">
        <w:rPr>
          <w:rFonts w:ascii="Arial" w:hAnsi="Arial" w:cs="Arial"/>
          <w:color w:val="000000"/>
          <w:sz w:val="21"/>
          <w:szCs w:val="21"/>
        </w:rPr>
        <w:t xml:space="preserve"> percent).</w:t>
      </w:r>
    </w:p>
    <w:tbl>
      <w:tblPr>
        <w:tblpPr w:leftFromText="180" w:rightFromText="180" w:vertAnchor="text" w:horzAnchor="margin" w:tblpY="131"/>
        <w:tblW w:w="0" w:type="auto"/>
        <w:tblLook w:val="0000" w:firstRow="0" w:lastRow="0" w:firstColumn="0" w:lastColumn="0" w:noHBand="0" w:noVBand="0"/>
      </w:tblPr>
      <w:tblGrid>
        <w:gridCol w:w="6804"/>
        <w:gridCol w:w="284"/>
        <w:gridCol w:w="2658"/>
      </w:tblGrid>
      <w:tr w:rsidR="00565B49" w:rsidRPr="00C13C15" w14:paraId="2CB1C13A" w14:textId="77777777" w:rsidTr="00170FDC">
        <w:tc>
          <w:tcPr>
            <w:tcW w:w="6804" w:type="dxa"/>
            <w:tcBorders>
              <w:top w:val="single" w:sz="8" w:space="0" w:color="auto"/>
              <w:bottom w:val="single" w:sz="4" w:space="0" w:color="auto"/>
            </w:tcBorders>
          </w:tcPr>
          <w:p w14:paraId="67745D93" w14:textId="77777777" w:rsidR="00565B49" w:rsidRPr="00C13C15" w:rsidRDefault="00565B49" w:rsidP="00F64A0C">
            <w:pPr>
              <w:widowControl w:val="0"/>
              <w:autoSpaceDE w:val="0"/>
              <w:autoSpaceDN w:val="0"/>
              <w:adjustRightInd w:val="0"/>
              <w:spacing w:after="0"/>
              <w:rPr>
                <w:rFonts w:ascii="Arial" w:hAnsi="Arial" w:cs="Arial"/>
                <w:sz w:val="18"/>
                <w:szCs w:val="18"/>
              </w:rPr>
            </w:pPr>
            <w:r w:rsidRPr="00C13C15">
              <w:rPr>
                <w:rFonts w:ascii="Arial" w:hAnsi="Arial" w:cs="Arial"/>
                <w:b/>
                <w:bCs/>
                <w:sz w:val="18"/>
                <w:szCs w:val="18"/>
              </w:rPr>
              <w:t>Group</w:t>
            </w:r>
          </w:p>
        </w:tc>
        <w:tc>
          <w:tcPr>
            <w:tcW w:w="2942" w:type="dxa"/>
            <w:gridSpan w:val="2"/>
            <w:tcBorders>
              <w:top w:val="single" w:sz="8" w:space="0" w:color="auto"/>
              <w:left w:val="nil"/>
              <w:bottom w:val="single" w:sz="4" w:space="0" w:color="auto"/>
            </w:tcBorders>
          </w:tcPr>
          <w:p w14:paraId="7636BB06" w14:textId="6B9D6EF4" w:rsidR="00565B49" w:rsidRPr="00C13C15" w:rsidRDefault="00565B49" w:rsidP="00B3180D">
            <w:pPr>
              <w:widowControl w:val="0"/>
              <w:tabs>
                <w:tab w:val="center" w:pos="4320"/>
                <w:tab w:val="right" w:pos="8640"/>
              </w:tabs>
              <w:autoSpaceDE w:val="0"/>
              <w:autoSpaceDN w:val="0"/>
              <w:adjustRightInd w:val="0"/>
              <w:spacing w:after="0"/>
              <w:jc w:val="center"/>
              <w:rPr>
                <w:rFonts w:ascii="Arial" w:hAnsi="Arial" w:cs="Arial"/>
                <w:sz w:val="18"/>
                <w:szCs w:val="18"/>
              </w:rPr>
            </w:pPr>
            <w:r w:rsidRPr="00C13C15">
              <w:rPr>
                <w:rFonts w:ascii="Arial" w:hAnsi="Arial" w:cs="Arial"/>
                <w:b/>
                <w:bCs/>
                <w:sz w:val="18"/>
                <w:szCs w:val="18"/>
              </w:rPr>
              <w:t xml:space="preserve">Quarterly </w:t>
            </w:r>
            <w:r w:rsidR="00852E0A" w:rsidRPr="00C13C15">
              <w:rPr>
                <w:rFonts w:ascii="Arial" w:hAnsi="Arial" w:cs="Arial"/>
                <w:b/>
                <w:bCs/>
                <w:sz w:val="18"/>
                <w:szCs w:val="18"/>
              </w:rPr>
              <w:t xml:space="preserve"> percentage points contribution to CPI</w:t>
            </w:r>
          </w:p>
        </w:tc>
      </w:tr>
      <w:tr w:rsidR="00852E0A" w:rsidRPr="00C13C15" w14:paraId="017D83C1" w14:textId="77777777" w:rsidTr="00170FDC">
        <w:tc>
          <w:tcPr>
            <w:tcW w:w="7088" w:type="dxa"/>
            <w:gridSpan w:val="2"/>
            <w:tcBorders>
              <w:top w:val="single" w:sz="4" w:space="0" w:color="auto"/>
            </w:tcBorders>
          </w:tcPr>
          <w:p w14:paraId="3A4EA536" w14:textId="11B66C3F" w:rsidR="00852E0A" w:rsidRPr="00F02EFD" w:rsidRDefault="00852E0A" w:rsidP="00852E0A">
            <w:pPr>
              <w:widowControl w:val="0"/>
              <w:autoSpaceDE w:val="0"/>
              <w:autoSpaceDN w:val="0"/>
              <w:adjustRightInd w:val="0"/>
              <w:spacing w:after="0"/>
              <w:ind w:left="360" w:hanging="360"/>
              <w:rPr>
                <w:rFonts w:ascii="Arial" w:hAnsi="Arial" w:cs="Arial"/>
                <w:sz w:val="20"/>
                <w:szCs w:val="20"/>
              </w:rPr>
            </w:pPr>
            <w:r w:rsidRPr="00F02EFD">
              <w:rPr>
                <w:rFonts w:ascii="Arial" w:hAnsi="Arial" w:cs="Arial"/>
                <w:sz w:val="20"/>
                <w:szCs w:val="20"/>
              </w:rPr>
              <w:t>01. Food and non-alcoholic beverages</w:t>
            </w:r>
          </w:p>
        </w:tc>
        <w:tc>
          <w:tcPr>
            <w:tcW w:w="2658" w:type="dxa"/>
            <w:tcBorders>
              <w:top w:val="single" w:sz="4" w:space="0" w:color="auto"/>
              <w:left w:val="nil"/>
            </w:tcBorders>
            <w:shd w:val="clear" w:color="auto" w:fill="auto"/>
          </w:tcPr>
          <w:p w14:paraId="7624EBF8" w14:textId="7BDC6934" w:rsidR="00852E0A" w:rsidRPr="00F67E05" w:rsidRDefault="0005561C" w:rsidP="0005561C">
            <w:pPr>
              <w:widowControl w:val="0"/>
              <w:autoSpaceDE w:val="0"/>
              <w:autoSpaceDN w:val="0"/>
              <w:adjustRightInd w:val="0"/>
              <w:spacing w:after="0"/>
              <w:jc w:val="center"/>
              <w:rPr>
                <w:rFonts w:ascii="Arial" w:hAnsi="Arial" w:cs="Arial"/>
                <w:sz w:val="20"/>
                <w:szCs w:val="20"/>
              </w:rPr>
            </w:pPr>
            <w:r>
              <w:rPr>
                <w:rFonts w:ascii="Arial" w:hAnsi="Arial" w:cs="Arial"/>
                <w:sz w:val="20"/>
                <w:szCs w:val="20"/>
              </w:rPr>
              <w:t>1</w:t>
            </w:r>
            <w:r w:rsidR="00E51DA1" w:rsidRPr="00F67E05">
              <w:rPr>
                <w:rFonts w:ascii="Arial" w:hAnsi="Arial" w:cs="Arial"/>
                <w:sz w:val="20"/>
                <w:szCs w:val="20"/>
              </w:rPr>
              <w:t>.</w:t>
            </w:r>
            <w:r>
              <w:rPr>
                <w:rFonts w:ascii="Arial" w:hAnsi="Arial" w:cs="Arial"/>
                <w:sz w:val="20"/>
                <w:szCs w:val="20"/>
              </w:rPr>
              <w:t>8</w:t>
            </w:r>
          </w:p>
        </w:tc>
      </w:tr>
      <w:tr w:rsidR="00852E0A" w:rsidRPr="00C13C15" w14:paraId="24BF9070" w14:textId="77777777" w:rsidTr="00170FDC">
        <w:tc>
          <w:tcPr>
            <w:tcW w:w="7088" w:type="dxa"/>
            <w:gridSpan w:val="2"/>
          </w:tcPr>
          <w:p w14:paraId="473443ED" w14:textId="6AF2855B" w:rsidR="00852E0A" w:rsidRPr="00F02EFD" w:rsidRDefault="00852E0A" w:rsidP="00852E0A">
            <w:pPr>
              <w:widowControl w:val="0"/>
              <w:autoSpaceDE w:val="0"/>
              <w:autoSpaceDN w:val="0"/>
              <w:adjustRightInd w:val="0"/>
              <w:spacing w:after="0"/>
              <w:ind w:left="360" w:hanging="360"/>
              <w:rPr>
                <w:rFonts w:ascii="Arial" w:hAnsi="Arial" w:cs="Arial"/>
                <w:sz w:val="20"/>
                <w:szCs w:val="20"/>
              </w:rPr>
            </w:pPr>
            <w:r w:rsidRPr="00F02EFD">
              <w:rPr>
                <w:rFonts w:ascii="Arial" w:hAnsi="Arial" w:cs="Arial"/>
                <w:sz w:val="20"/>
                <w:szCs w:val="20"/>
              </w:rPr>
              <w:t>02. Alcoholic beverages and tobacco</w:t>
            </w:r>
          </w:p>
        </w:tc>
        <w:tc>
          <w:tcPr>
            <w:tcW w:w="2658" w:type="dxa"/>
            <w:tcBorders>
              <w:left w:val="nil"/>
            </w:tcBorders>
            <w:shd w:val="clear" w:color="auto" w:fill="auto"/>
          </w:tcPr>
          <w:p w14:paraId="3B1EB982" w14:textId="77B61C79" w:rsidR="00852E0A" w:rsidRPr="00F67E05" w:rsidRDefault="00E51DA1" w:rsidP="00AD1D29">
            <w:pPr>
              <w:widowControl w:val="0"/>
              <w:autoSpaceDE w:val="0"/>
              <w:autoSpaceDN w:val="0"/>
              <w:adjustRightInd w:val="0"/>
              <w:spacing w:after="0"/>
              <w:jc w:val="center"/>
              <w:rPr>
                <w:rFonts w:ascii="Arial" w:hAnsi="Arial" w:cs="Arial"/>
                <w:sz w:val="20"/>
                <w:szCs w:val="20"/>
              </w:rPr>
            </w:pPr>
            <w:r w:rsidRPr="00F67E05">
              <w:rPr>
                <w:rFonts w:ascii="Arial" w:hAnsi="Arial" w:cs="Arial"/>
                <w:sz w:val="20"/>
                <w:szCs w:val="20"/>
              </w:rPr>
              <w:t>3.7</w:t>
            </w:r>
          </w:p>
        </w:tc>
      </w:tr>
      <w:tr w:rsidR="00852E0A" w:rsidRPr="00C13C15" w14:paraId="6221D72A" w14:textId="77777777" w:rsidTr="00170FDC">
        <w:tc>
          <w:tcPr>
            <w:tcW w:w="7088" w:type="dxa"/>
            <w:gridSpan w:val="2"/>
            <w:tcBorders>
              <w:top w:val="nil"/>
              <w:bottom w:val="nil"/>
            </w:tcBorders>
          </w:tcPr>
          <w:p w14:paraId="6414D4DA" w14:textId="5C8EA50C" w:rsidR="00852E0A" w:rsidRPr="00F02EFD" w:rsidRDefault="00852E0A" w:rsidP="00852E0A">
            <w:pPr>
              <w:widowControl w:val="0"/>
              <w:autoSpaceDE w:val="0"/>
              <w:autoSpaceDN w:val="0"/>
              <w:adjustRightInd w:val="0"/>
              <w:spacing w:after="0"/>
              <w:ind w:left="360" w:hanging="360"/>
              <w:rPr>
                <w:rFonts w:ascii="Arial" w:hAnsi="Arial" w:cs="Arial"/>
                <w:sz w:val="20"/>
                <w:szCs w:val="20"/>
              </w:rPr>
            </w:pPr>
            <w:r w:rsidRPr="00F02EFD">
              <w:rPr>
                <w:rFonts w:ascii="Arial" w:hAnsi="Arial" w:cs="Arial"/>
                <w:sz w:val="20"/>
                <w:szCs w:val="20"/>
              </w:rPr>
              <w:t>03. Clothing and footwear</w:t>
            </w:r>
          </w:p>
        </w:tc>
        <w:tc>
          <w:tcPr>
            <w:tcW w:w="2658" w:type="dxa"/>
            <w:tcBorders>
              <w:top w:val="nil"/>
              <w:left w:val="nil"/>
              <w:bottom w:val="nil"/>
            </w:tcBorders>
            <w:shd w:val="clear" w:color="auto" w:fill="auto"/>
          </w:tcPr>
          <w:p w14:paraId="0E36A9EE" w14:textId="085A44FA" w:rsidR="00852E0A" w:rsidRPr="00F67E05" w:rsidRDefault="00476E65" w:rsidP="00AD1D29">
            <w:pPr>
              <w:widowControl w:val="0"/>
              <w:autoSpaceDE w:val="0"/>
              <w:autoSpaceDN w:val="0"/>
              <w:adjustRightInd w:val="0"/>
              <w:spacing w:after="0"/>
              <w:jc w:val="center"/>
              <w:rPr>
                <w:rFonts w:ascii="Arial" w:hAnsi="Arial" w:cs="Arial"/>
                <w:sz w:val="20"/>
                <w:szCs w:val="20"/>
              </w:rPr>
            </w:pPr>
            <w:r w:rsidRPr="00F67E05">
              <w:rPr>
                <w:rFonts w:ascii="Arial" w:hAnsi="Arial" w:cs="Arial"/>
                <w:sz w:val="20"/>
                <w:szCs w:val="20"/>
              </w:rPr>
              <w:t>0.0</w:t>
            </w:r>
          </w:p>
        </w:tc>
      </w:tr>
      <w:tr w:rsidR="00852E0A" w:rsidRPr="00C13C15" w14:paraId="076E210A" w14:textId="77777777" w:rsidTr="00170FDC">
        <w:tc>
          <w:tcPr>
            <w:tcW w:w="7088" w:type="dxa"/>
            <w:gridSpan w:val="2"/>
            <w:tcBorders>
              <w:top w:val="nil"/>
              <w:bottom w:val="nil"/>
            </w:tcBorders>
          </w:tcPr>
          <w:p w14:paraId="47485FF1" w14:textId="34A73C82" w:rsidR="00852E0A" w:rsidRPr="00F02EFD" w:rsidRDefault="00852E0A" w:rsidP="00852E0A">
            <w:pPr>
              <w:widowControl w:val="0"/>
              <w:autoSpaceDE w:val="0"/>
              <w:autoSpaceDN w:val="0"/>
              <w:adjustRightInd w:val="0"/>
              <w:spacing w:after="0"/>
              <w:ind w:left="360" w:hanging="360"/>
              <w:rPr>
                <w:rFonts w:ascii="Arial" w:hAnsi="Arial" w:cs="Arial"/>
                <w:sz w:val="20"/>
                <w:szCs w:val="20"/>
              </w:rPr>
            </w:pPr>
            <w:r w:rsidRPr="00F02EFD">
              <w:rPr>
                <w:rFonts w:ascii="Arial" w:hAnsi="Arial" w:cs="Arial"/>
                <w:sz w:val="20"/>
                <w:szCs w:val="20"/>
              </w:rPr>
              <w:t>04. Housing, water, electricity, gas and other fuels</w:t>
            </w:r>
          </w:p>
        </w:tc>
        <w:tc>
          <w:tcPr>
            <w:tcW w:w="2658" w:type="dxa"/>
            <w:tcBorders>
              <w:top w:val="nil"/>
              <w:left w:val="nil"/>
              <w:bottom w:val="nil"/>
            </w:tcBorders>
            <w:shd w:val="clear" w:color="auto" w:fill="auto"/>
          </w:tcPr>
          <w:p w14:paraId="3E9579CA" w14:textId="206F4F36" w:rsidR="00852E0A" w:rsidRPr="00F67E05" w:rsidDel="004E3A71" w:rsidRDefault="0095360A" w:rsidP="00AD1D29">
            <w:pPr>
              <w:widowControl w:val="0"/>
              <w:autoSpaceDE w:val="0"/>
              <w:autoSpaceDN w:val="0"/>
              <w:adjustRightInd w:val="0"/>
              <w:spacing w:after="0"/>
              <w:jc w:val="center"/>
              <w:rPr>
                <w:rFonts w:ascii="Arial" w:hAnsi="Arial" w:cs="Arial"/>
                <w:sz w:val="20"/>
                <w:szCs w:val="20"/>
              </w:rPr>
            </w:pPr>
            <w:r w:rsidRPr="00F67E05">
              <w:rPr>
                <w:rFonts w:ascii="Arial" w:hAnsi="Arial" w:cs="Arial"/>
                <w:sz w:val="20"/>
                <w:szCs w:val="20"/>
              </w:rPr>
              <w:t>-</w:t>
            </w:r>
            <w:r w:rsidR="00476E65" w:rsidRPr="00F67E05">
              <w:rPr>
                <w:rFonts w:ascii="Arial" w:hAnsi="Arial" w:cs="Arial"/>
                <w:sz w:val="20"/>
                <w:szCs w:val="20"/>
              </w:rPr>
              <w:t>0.</w:t>
            </w:r>
            <w:r w:rsidRPr="00F67E05">
              <w:rPr>
                <w:rFonts w:ascii="Arial" w:hAnsi="Arial" w:cs="Arial"/>
                <w:sz w:val="20"/>
                <w:szCs w:val="20"/>
              </w:rPr>
              <w:t>2</w:t>
            </w:r>
          </w:p>
        </w:tc>
      </w:tr>
      <w:tr w:rsidR="00852E0A" w:rsidRPr="00C13C15" w14:paraId="0614BB64" w14:textId="77777777" w:rsidTr="00170FDC">
        <w:tc>
          <w:tcPr>
            <w:tcW w:w="7088" w:type="dxa"/>
            <w:gridSpan w:val="2"/>
            <w:tcBorders>
              <w:top w:val="nil"/>
              <w:bottom w:val="nil"/>
            </w:tcBorders>
          </w:tcPr>
          <w:p w14:paraId="26F62A44" w14:textId="53E1280A" w:rsidR="00852E0A" w:rsidRPr="00F02EFD" w:rsidRDefault="00852E0A" w:rsidP="00852E0A">
            <w:pPr>
              <w:widowControl w:val="0"/>
              <w:autoSpaceDE w:val="0"/>
              <w:autoSpaceDN w:val="0"/>
              <w:adjustRightInd w:val="0"/>
              <w:spacing w:after="0"/>
              <w:ind w:left="360" w:hanging="360"/>
              <w:rPr>
                <w:rFonts w:ascii="Arial" w:hAnsi="Arial" w:cs="Arial"/>
                <w:sz w:val="20"/>
                <w:szCs w:val="20"/>
              </w:rPr>
            </w:pPr>
            <w:r w:rsidRPr="00F02EFD">
              <w:rPr>
                <w:rFonts w:ascii="Arial" w:hAnsi="Arial" w:cs="Arial"/>
                <w:sz w:val="20"/>
                <w:szCs w:val="20"/>
              </w:rPr>
              <w:t>05. Furnishings, household equipment and routine household maintenance</w:t>
            </w:r>
          </w:p>
        </w:tc>
        <w:tc>
          <w:tcPr>
            <w:tcW w:w="2658" w:type="dxa"/>
            <w:tcBorders>
              <w:top w:val="nil"/>
              <w:left w:val="nil"/>
              <w:bottom w:val="nil"/>
            </w:tcBorders>
            <w:shd w:val="clear" w:color="auto" w:fill="auto"/>
          </w:tcPr>
          <w:p w14:paraId="4CC03DEE" w14:textId="5690E1A1" w:rsidR="00852E0A" w:rsidRPr="00F67E05" w:rsidRDefault="00F67E05" w:rsidP="00AD1D29">
            <w:pPr>
              <w:widowControl w:val="0"/>
              <w:autoSpaceDE w:val="0"/>
              <w:autoSpaceDN w:val="0"/>
              <w:adjustRightInd w:val="0"/>
              <w:spacing w:after="0"/>
              <w:jc w:val="center"/>
              <w:rPr>
                <w:rFonts w:ascii="Arial" w:hAnsi="Arial" w:cs="Arial"/>
                <w:sz w:val="20"/>
                <w:szCs w:val="20"/>
              </w:rPr>
            </w:pPr>
            <w:r>
              <w:rPr>
                <w:rFonts w:ascii="Arial" w:hAnsi="Arial" w:cs="Arial"/>
                <w:sz w:val="20"/>
                <w:szCs w:val="20"/>
              </w:rPr>
              <w:t>0</w:t>
            </w:r>
            <w:r w:rsidR="00476E65" w:rsidRPr="00F67E05">
              <w:rPr>
                <w:rFonts w:ascii="Arial" w:hAnsi="Arial" w:cs="Arial"/>
                <w:sz w:val="20"/>
                <w:szCs w:val="20"/>
              </w:rPr>
              <w:t>.</w:t>
            </w:r>
            <w:r>
              <w:rPr>
                <w:rFonts w:ascii="Arial" w:hAnsi="Arial" w:cs="Arial"/>
                <w:sz w:val="20"/>
                <w:szCs w:val="20"/>
              </w:rPr>
              <w:t>0</w:t>
            </w:r>
          </w:p>
        </w:tc>
      </w:tr>
      <w:tr w:rsidR="00852E0A" w:rsidRPr="00C13C15" w14:paraId="7A7AAC39" w14:textId="77777777" w:rsidTr="00170FDC">
        <w:tc>
          <w:tcPr>
            <w:tcW w:w="7088" w:type="dxa"/>
            <w:gridSpan w:val="2"/>
          </w:tcPr>
          <w:p w14:paraId="64659C54" w14:textId="4186C746" w:rsidR="00852E0A" w:rsidRPr="00F02EFD" w:rsidRDefault="00852E0A" w:rsidP="00852E0A">
            <w:pPr>
              <w:widowControl w:val="0"/>
              <w:autoSpaceDE w:val="0"/>
              <w:autoSpaceDN w:val="0"/>
              <w:adjustRightInd w:val="0"/>
              <w:spacing w:after="0"/>
              <w:ind w:left="360" w:hanging="360"/>
              <w:rPr>
                <w:rFonts w:ascii="Arial" w:hAnsi="Arial" w:cs="Arial"/>
                <w:sz w:val="20"/>
                <w:szCs w:val="20"/>
              </w:rPr>
            </w:pPr>
            <w:r w:rsidRPr="00F02EFD">
              <w:rPr>
                <w:rFonts w:ascii="Arial" w:hAnsi="Arial" w:cs="Arial"/>
                <w:sz w:val="20"/>
                <w:szCs w:val="20"/>
              </w:rPr>
              <w:t>07. Transport</w:t>
            </w:r>
          </w:p>
        </w:tc>
        <w:tc>
          <w:tcPr>
            <w:tcW w:w="2658" w:type="dxa"/>
            <w:tcBorders>
              <w:left w:val="nil"/>
            </w:tcBorders>
            <w:shd w:val="clear" w:color="auto" w:fill="auto"/>
          </w:tcPr>
          <w:p w14:paraId="292B3AC7" w14:textId="755DB489" w:rsidR="00852E0A" w:rsidRPr="00F67E05" w:rsidRDefault="0095360A" w:rsidP="00AD1D29">
            <w:pPr>
              <w:widowControl w:val="0"/>
              <w:autoSpaceDE w:val="0"/>
              <w:autoSpaceDN w:val="0"/>
              <w:adjustRightInd w:val="0"/>
              <w:spacing w:after="0"/>
              <w:ind w:left="360" w:hanging="360"/>
              <w:jc w:val="center"/>
              <w:rPr>
                <w:rFonts w:ascii="Arial" w:hAnsi="Arial" w:cs="Arial"/>
                <w:sz w:val="20"/>
                <w:szCs w:val="20"/>
              </w:rPr>
            </w:pPr>
            <w:r w:rsidRPr="00F67E05">
              <w:rPr>
                <w:rFonts w:ascii="Arial" w:hAnsi="Arial" w:cs="Arial"/>
                <w:sz w:val="20"/>
                <w:szCs w:val="20"/>
              </w:rPr>
              <w:t>-1</w:t>
            </w:r>
            <w:r w:rsidR="00476E65" w:rsidRPr="00F67E05">
              <w:rPr>
                <w:rFonts w:ascii="Arial" w:hAnsi="Arial" w:cs="Arial"/>
                <w:sz w:val="20"/>
                <w:szCs w:val="20"/>
              </w:rPr>
              <w:t>.</w:t>
            </w:r>
            <w:r w:rsidRPr="00F67E05">
              <w:rPr>
                <w:rFonts w:ascii="Arial" w:hAnsi="Arial" w:cs="Arial"/>
                <w:sz w:val="20"/>
                <w:szCs w:val="20"/>
              </w:rPr>
              <w:t>0</w:t>
            </w:r>
          </w:p>
        </w:tc>
      </w:tr>
      <w:tr w:rsidR="00852E0A" w:rsidRPr="00C13C15" w14:paraId="5685D2D9" w14:textId="77777777" w:rsidTr="00170FDC">
        <w:tc>
          <w:tcPr>
            <w:tcW w:w="7088" w:type="dxa"/>
            <w:gridSpan w:val="2"/>
          </w:tcPr>
          <w:p w14:paraId="65DC3797" w14:textId="147536CE" w:rsidR="00852E0A" w:rsidRPr="00F02EFD" w:rsidRDefault="00852E0A" w:rsidP="00852E0A">
            <w:pPr>
              <w:widowControl w:val="0"/>
              <w:autoSpaceDE w:val="0"/>
              <w:autoSpaceDN w:val="0"/>
              <w:adjustRightInd w:val="0"/>
              <w:spacing w:after="0"/>
              <w:ind w:left="360" w:hanging="360"/>
              <w:rPr>
                <w:rFonts w:ascii="Arial" w:hAnsi="Arial" w:cs="Arial"/>
                <w:sz w:val="20"/>
                <w:szCs w:val="20"/>
              </w:rPr>
            </w:pPr>
            <w:r w:rsidRPr="00F02EFD">
              <w:rPr>
                <w:rFonts w:ascii="Arial" w:hAnsi="Arial" w:cs="Arial"/>
                <w:sz w:val="20"/>
                <w:szCs w:val="20"/>
              </w:rPr>
              <w:t>08. Communication</w:t>
            </w:r>
          </w:p>
        </w:tc>
        <w:tc>
          <w:tcPr>
            <w:tcW w:w="2658" w:type="dxa"/>
            <w:tcBorders>
              <w:left w:val="nil"/>
            </w:tcBorders>
            <w:shd w:val="clear" w:color="auto" w:fill="auto"/>
          </w:tcPr>
          <w:p w14:paraId="4C4D8F78" w14:textId="6F8DD953" w:rsidR="00852E0A" w:rsidRPr="00F67E05" w:rsidDel="009E442E" w:rsidRDefault="00476E65" w:rsidP="00AD1D29">
            <w:pPr>
              <w:widowControl w:val="0"/>
              <w:autoSpaceDE w:val="0"/>
              <w:autoSpaceDN w:val="0"/>
              <w:adjustRightInd w:val="0"/>
              <w:spacing w:after="0"/>
              <w:ind w:left="360" w:hanging="360"/>
              <w:jc w:val="center"/>
              <w:rPr>
                <w:rFonts w:ascii="Arial" w:hAnsi="Arial" w:cs="Arial"/>
                <w:sz w:val="20"/>
                <w:szCs w:val="20"/>
              </w:rPr>
            </w:pPr>
            <w:r w:rsidRPr="00F67E05">
              <w:rPr>
                <w:rFonts w:ascii="Arial" w:hAnsi="Arial" w:cs="Arial"/>
                <w:sz w:val="20"/>
                <w:szCs w:val="20"/>
              </w:rPr>
              <w:t>0.0</w:t>
            </w:r>
          </w:p>
        </w:tc>
      </w:tr>
      <w:tr w:rsidR="00852E0A" w:rsidRPr="00C13C15" w14:paraId="5A36AC05" w14:textId="77777777" w:rsidTr="00170FDC">
        <w:tc>
          <w:tcPr>
            <w:tcW w:w="7088" w:type="dxa"/>
            <w:gridSpan w:val="2"/>
          </w:tcPr>
          <w:p w14:paraId="44668F28" w14:textId="57E257AD" w:rsidR="00852E0A" w:rsidRPr="00F02EFD" w:rsidRDefault="00852E0A" w:rsidP="00852E0A">
            <w:pPr>
              <w:widowControl w:val="0"/>
              <w:autoSpaceDE w:val="0"/>
              <w:autoSpaceDN w:val="0"/>
              <w:adjustRightInd w:val="0"/>
              <w:spacing w:after="0"/>
              <w:ind w:left="360" w:hanging="360"/>
              <w:rPr>
                <w:rFonts w:ascii="Arial" w:hAnsi="Arial" w:cs="Arial"/>
                <w:sz w:val="20"/>
                <w:szCs w:val="20"/>
              </w:rPr>
            </w:pPr>
            <w:r w:rsidRPr="00F02EFD">
              <w:rPr>
                <w:rFonts w:ascii="Arial" w:hAnsi="Arial" w:cs="Arial"/>
                <w:sz w:val="20"/>
                <w:szCs w:val="20"/>
              </w:rPr>
              <w:t>09. Recreation and culture</w:t>
            </w:r>
          </w:p>
        </w:tc>
        <w:tc>
          <w:tcPr>
            <w:tcW w:w="2658" w:type="dxa"/>
            <w:tcBorders>
              <w:left w:val="nil"/>
            </w:tcBorders>
            <w:shd w:val="clear" w:color="auto" w:fill="auto"/>
          </w:tcPr>
          <w:p w14:paraId="2D8ECC0C" w14:textId="42A26CE3" w:rsidR="00852E0A" w:rsidRPr="00F67E05" w:rsidDel="004E3A71" w:rsidRDefault="00476E65" w:rsidP="00AD1D29">
            <w:pPr>
              <w:widowControl w:val="0"/>
              <w:autoSpaceDE w:val="0"/>
              <w:autoSpaceDN w:val="0"/>
              <w:adjustRightInd w:val="0"/>
              <w:spacing w:after="0"/>
              <w:ind w:left="360" w:hanging="360"/>
              <w:jc w:val="center"/>
              <w:rPr>
                <w:rFonts w:ascii="Arial" w:hAnsi="Arial" w:cs="Arial"/>
                <w:sz w:val="20"/>
                <w:szCs w:val="20"/>
              </w:rPr>
            </w:pPr>
            <w:r w:rsidRPr="00F67E05">
              <w:rPr>
                <w:rFonts w:ascii="Arial" w:hAnsi="Arial" w:cs="Arial"/>
                <w:sz w:val="20"/>
                <w:szCs w:val="20"/>
              </w:rPr>
              <w:t>-0.1</w:t>
            </w:r>
          </w:p>
        </w:tc>
      </w:tr>
      <w:tr w:rsidR="00711255" w:rsidRPr="00C13C15" w14:paraId="4F7CEE32" w14:textId="77777777" w:rsidTr="00170FDC">
        <w:tc>
          <w:tcPr>
            <w:tcW w:w="7088" w:type="dxa"/>
            <w:gridSpan w:val="2"/>
            <w:tcBorders>
              <w:bottom w:val="single" w:sz="4" w:space="0" w:color="auto"/>
            </w:tcBorders>
          </w:tcPr>
          <w:p w14:paraId="12CBC4F8" w14:textId="60E22BA5" w:rsidR="00711255" w:rsidRPr="00F02EFD" w:rsidRDefault="00711255" w:rsidP="00852E0A">
            <w:pPr>
              <w:widowControl w:val="0"/>
              <w:autoSpaceDE w:val="0"/>
              <w:autoSpaceDN w:val="0"/>
              <w:adjustRightInd w:val="0"/>
              <w:spacing w:after="0"/>
              <w:ind w:left="360" w:hanging="360"/>
              <w:rPr>
                <w:rFonts w:ascii="Arial" w:hAnsi="Arial" w:cs="Arial"/>
                <w:sz w:val="20"/>
                <w:szCs w:val="20"/>
              </w:rPr>
            </w:pPr>
            <w:r w:rsidRPr="00F02EFD">
              <w:rPr>
                <w:rFonts w:ascii="Arial" w:hAnsi="Arial" w:cs="Arial"/>
                <w:sz w:val="20"/>
                <w:szCs w:val="20"/>
              </w:rPr>
              <w:t>12. Miscellaneous goods and services</w:t>
            </w:r>
          </w:p>
        </w:tc>
        <w:tc>
          <w:tcPr>
            <w:tcW w:w="2658" w:type="dxa"/>
            <w:tcBorders>
              <w:left w:val="nil"/>
              <w:bottom w:val="single" w:sz="4" w:space="0" w:color="auto"/>
            </w:tcBorders>
            <w:shd w:val="clear" w:color="auto" w:fill="auto"/>
          </w:tcPr>
          <w:p w14:paraId="2E50092E" w14:textId="0F2CC03F" w:rsidR="00711255" w:rsidRPr="00F67E05" w:rsidRDefault="00476E65" w:rsidP="00F67E05">
            <w:pPr>
              <w:widowControl w:val="0"/>
              <w:autoSpaceDE w:val="0"/>
              <w:autoSpaceDN w:val="0"/>
              <w:adjustRightInd w:val="0"/>
              <w:spacing w:after="0"/>
              <w:ind w:left="360" w:hanging="360"/>
              <w:jc w:val="center"/>
              <w:rPr>
                <w:rFonts w:ascii="Arial" w:hAnsi="Arial" w:cs="Arial"/>
                <w:sz w:val="20"/>
                <w:szCs w:val="20"/>
              </w:rPr>
            </w:pPr>
            <w:r w:rsidRPr="00F67E05">
              <w:rPr>
                <w:rFonts w:ascii="Arial" w:hAnsi="Arial" w:cs="Arial"/>
                <w:sz w:val="20"/>
                <w:szCs w:val="20"/>
              </w:rPr>
              <w:t>0.</w:t>
            </w:r>
            <w:r w:rsidR="00F67E05">
              <w:rPr>
                <w:rFonts w:ascii="Arial" w:hAnsi="Arial" w:cs="Arial"/>
                <w:sz w:val="20"/>
                <w:szCs w:val="20"/>
              </w:rPr>
              <w:t>0</w:t>
            </w:r>
          </w:p>
        </w:tc>
      </w:tr>
      <w:tr w:rsidR="005459CF" w:rsidRPr="00C13C15" w14:paraId="04C322A8" w14:textId="77777777" w:rsidTr="00170FDC">
        <w:tc>
          <w:tcPr>
            <w:tcW w:w="7088" w:type="dxa"/>
            <w:gridSpan w:val="2"/>
            <w:tcBorders>
              <w:top w:val="single" w:sz="4" w:space="0" w:color="auto"/>
              <w:bottom w:val="single" w:sz="4" w:space="0" w:color="auto"/>
            </w:tcBorders>
          </w:tcPr>
          <w:p w14:paraId="7E72167A" w14:textId="3017C4BD" w:rsidR="005459CF" w:rsidRPr="00F02EFD" w:rsidRDefault="005459CF" w:rsidP="005459CF">
            <w:pPr>
              <w:widowControl w:val="0"/>
              <w:tabs>
                <w:tab w:val="right" w:pos="4995"/>
              </w:tabs>
              <w:autoSpaceDE w:val="0"/>
              <w:autoSpaceDN w:val="0"/>
              <w:adjustRightInd w:val="0"/>
              <w:spacing w:after="0"/>
              <w:rPr>
                <w:rFonts w:ascii="Arial" w:hAnsi="Arial" w:cs="Arial"/>
                <w:b/>
                <w:sz w:val="20"/>
                <w:szCs w:val="20"/>
              </w:rPr>
            </w:pPr>
            <w:r w:rsidRPr="00F02EFD">
              <w:rPr>
                <w:rFonts w:ascii="Arial" w:hAnsi="Arial" w:cs="Arial"/>
                <w:sz w:val="20"/>
                <w:szCs w:val="20"/>
              </w:rPr>
              <w:t>Overall CPI</w:t>
            </w:r>
          </w:p>
        </w:tc>
        <w:tc>
          <w:tcPr>
            <w:tcW w:w="2658" w:type="dxa"/>
            <w:tcBorders>
              <w:top w:val="single" w:sz="4" w:space="0" w:color="auto"/>
              <w:left w:val="nil"/>
              <w:bottom w:val="single" w:sz="4" w:space="0" w:color="auto"/>
            </w:tcBorders>
            <w:shd w:val="clear" w:color="auto" w:fill="auto"/>
          </w:tcPr>
          <w:p w14:paraId="79D53E47" w14:textId="51BCF304" w:rsidR="005459CF" w:rsidRPr="00F67E05" w:rsidRDefault="00F67E05" w:rsidP="00F67E05">
            <w:pPr>
              <w:widowControl w:val="0"/>
              <w:autoSpaceDE w:val="0"/>
              <w:autoSpaceDN w:val="0"/>
              <w:adjustRightInd w:val="0"/>
              <w:spacing w:after="0"/>
              <w:jc w:val="center"/>
              <w:rPr>
                <w:rFonts w:ascii="Arial" w:hAnsi="Arial" w:cs="Arial"/>
                <w:b/>
                <w:sz w:val="20"/>
                <w:szCs w:val="20"/>
              </w:rPr>
            </w:pPr>
            <w:r>
              <w:rPr>
                <w:rFonts w:ascii="Arial" w:hAnsi="Arial" w:cs="Arial"/>
                <w:sz w:val="20"/>
                <w:szCs w:val="20"/>
              </w:rPr>
              <w:t>4</w:t>
            </w:r>
            <w:r w:rsidR="00476E65" w:rsidRPr="00F67E05">
              <w:rPr>
                <w:rFonts w:ascii="Arial" w:hAnsi="Arial" w:cs="Arial"/>
                <w:sz w:val="20"/>
                <w:szCs w:val="20"/>
              </w:rPr>
              <w:t>.</w:t>
            </w:r>
            <w:r w:rsidR="002042C2">
              <w:rPr>
                <w:rFonts w:ascii="Arial" w:hAnsi="Arial" w:cs="Arial"/>
                <w:sz w:val="20"/>
                <w:szCs w:val="20"/>
              </w:rPr>
              <w:t>2</w:t>
            </w:r>
          </w:p>
        </w:tc>
      </w:tr>
      <w:tr w:rsidR="005459CF" w:rsidRPr="00C13C15" w14:paraId="61571DB1" w14:textId="77777777" w:rsidTr="00170FDC">
        <w:tc>
          <w:tcPr>
            <w:tcW w:w="9746" w:type="dxa"/>
            <w:gridSpan w:val="3"/>
            <w:tcBorders>
              <w:top w:val="single" w:sz="4" w:space="0" w:color="auto"/>
            </w:tcBorders>
          </w:tcPr>
          <w:p w14:paraId="1A3AB832" w14:textId="787A5CCF" w:rsidR="005459CF" w:rsidRPr="00F02EFD" w:rsidRDefault="005459CF" w:rsidP="005459CF">
            <w:pPr>
              <w:widowControl w:val="0"/>
              <w:autoSpaceDE w:val="0"/>
              <w:autoSpaceDN w:val="0"/>
              <w:adjustRightInd w:val="0"/>
              <w:spacing w:after="0"/>
              <w:rPr>
                <w:rFonts w:ascii="Arial" w:hAnsi="Arial" w:cs="Arial"/>
                <w:sz w:val="20"/>
                <w:szCs w:val="20"/>
              </w:rPr>
            </w:pPr>
            <w:r w:rsidRPr="00F02EFD">
              <w:rPr>
                <w:rFonts w:ascii="Arial" w:hAnsi="Arial" w:cs="Arial"/>
                <w:b/>
                <w:sz w:val="20"/>
                <w:szCs w:val="20"/>
              </w:rPr>
              <w:t>Note:</w:t>
            </w:r>
            <w:r w:rsidRPr="00F02EFD">
              <w:rPr>
                <w:rFonts w:ascii="Arial" w:hAnsi="Arial" w:cs="Arial"/>
                <w:sz w:val="20"/>
                <w:szCs w:val="20"/>
              </w:rPr>
              <w:t xml:space="preserve"> Percentages may not sum to total due to rounding.</w:t>
            </w:r>
          </w:p>
          <w:p w14:paraId="0ED01F8D" w14:textId="4A1732C0" w:rsidR="005459CF" w:rsidRPr="00F02EFD" w:rsidRDefault="005459CF" w:rsidP="005459CF">
            <w:pPr>
              <w:widowControl w:val="0"/>
              <w:autoSpaceDE w:val="0"/>
              <w:autoSpaceDN w:val="0"/>
              <w:adjustRightInd w:val="0"/>
              <w:spacing w:after="0"/>
              <w:rPr>
                <w:rFonts w:ascii="Arial" w:hAnsi="Arial" w:cs="Arial"/>
                <w:sz w:val="20"/>
                <w:szCs w:val="20"/>
              </w:rPr>
            </w:pPr>
          </w:p>
        </w:tc>
      </w:tr>
    </w:tbl>
    <w:p w14:paraId="29B1FF67" w14:textId="09476EB5" w:rsidR="005539F5" w:rsidRPr="00C13C15" w:rsidRDefault="005539F5" w:rsidP="00FB279A">
      <w:pPr>
        <w:rPr>
          <w:noProof/>
          <w:lang w:val="en-NZ" w:eastAsia="en-NZ"/>
        </w:rPr>
      </w:pPr>
    </w:p>
    <w:p w14:paraId="2C395F42" w14:textId="77777777" w:rsidR="00F02EFD" w:rsidRDefault="00F02EFD">
      <w:pPr>
        <w:spacing w:after="0"/>
        <w:rPr>
          <w:rFonts w:ascii="Arial" w:hAnsi="Arial" w:cs="Arial"/>
          <w:b/>
          <w:sz w:val="26"/>
          <w:szCs w:val="26"/>
          <w:lang w:val="en-GB" w:eastAsia="en-US"/>
        </w:rPr>
      </w:pPr>
      <w:bookmarkStart w:id="2" w:name="_Food_and_non-alcoholic_3"/>
      <w:bookmarkStart w:id="3" w:name="_Alcoholic_beverages_and_1"/>
      <w:bookmarkStart w:id="4" w:name="_Prices_for_washing"/>
      <w:bookmarkStart w:id="5" w:name="_Miscellaneous_goods_and"/>
      <w:bookmarkStart w:id="6" w:name="_Transport_is_another"/>
      <w:bookmarkStart w:id="7" w:name="_Cheaper_cigarettes_push"/>
      <w:bookmarkStart w:id="8" w:name="_Higher_prices_for"/>
      <w:bookmarkStart w:id="9" w:name="_Higher_prices_for_1"/>
      <w:bookmarkStart w:id="10" w:name="_Food_and_non-alcoholic_1"/>
      <w:bookmarkStart w:id="11" w:name="_LPG_gas_prices"/>
      <w:bookmarkStart w:id="12" w:name="_Nail_prices_push"/>
      <w:bookmarkStart w:id="13" w:name="_Petrol_prices_push"/>
      <w:bookmarkStart w:id="14" w:name="_Summary_of_other"/>
      <w:bookmarkStart w:id="15" w:name="_Summary_of_other_1"/>
      <w:bookmarkStart w:id="16" w:name="_Summary_of_other_2"/>
      <w:bookmarkStart w:id="17" w:name="_Alcoholic_beverages_and"/>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sz w:val="26"/>
          <w:szCs w:val="26"/>
        </w:rPr>
        <w:br w:type="page"/>
      </w:r>
    </w:p>
    <w:p w14:paraId="0D6CF0C9" w14:textId="581EC6BB" w:rsidR="00EF5760" w:rsidRPr="00C13C15" w:rsidRDefault="006257B1" w:rsidP="00EF5760">
      <w:pPr>
        <w:pStyle w:val="Heading2"/>
        <w:rPr>
          <w:sz w:val="26"/>
          <w:szCs w:val="26"/>
        </w:rPr>
      </w:pPr>
      <w:bookmarkStart w:id="18" w:name="_Alcoholic_beverages_and_2"/>
      <w:bookmarkEnd w:id="18"/>
      <w:r w:rsidRPr="00C13C15">
        <w:rPr>
          <w:sz w:val="26"/>
          <w:szCs w:val="26"/>
        </w:rPr>
        <w:lastRenderedPageBreak/>
        <w:t>Alcoholic beverages and tobacco group</w:t>
      </w:r>
      <w:r w:rsidR="005C35ED">
        <w:rPr>
          <w:sz w:val="26"/>
          <w:szCs w:val="26"/>
        </w:rPr>
        <w:t xml:space="preserve"> </w:t>
      </w:r>
      <w:r w:rsidR="0095360A">
        <w:rPr>
          <w:sz w:val="26"/>
          <w:szCs w:val="26"/>
        </w:rPr>
        <w:t>up</w:t>
      </w:r>
      <w:r w:rsidR="001A270E">
        <w:rPr>
          <w:sz w:val="26"/>
          <w:szCs w:val="26"/>
        </w:rPr>
        <w:t xml:space="preserve"> </w:t>
      </w:r>
      <w:r w:rsidR="005C35ED">
        <w:rPr>
          <w:sz w:val="26"/>
          <w:szCs w:val="26"/>
        </w:rPr>
        <w:t>this quarter</w:t>
      </w:r>
    </w:p>
    <w:p w14:paraId="56F2B6F3" w14:textId="26141FB0" w:rsidR="00E955C5" w:rsidRDefault="00E955C5" w:rsidP="00D113F5">
      <w:pPr>
        <w:autoSpaceDE w:val="0"/>
        <w:autoSpaceDN w:val="0"/>
        <w:adjustRightInd w:val="0"/>
        <w:spacing w:after="0"/>
        <w:rPr>
          <w:rFonts w:ascii="Arial" w:hAnsi="Arial" w:cs="Arial"/>
          <w:sz w:val="21"/>
          <w:szCs w:val="21"/>
          <w:lang w:val="en-NZ" w:eastAsia="en-NZ"/>
        </w:rPr>
      </w:pPr>
      <w:r>
        <w:rPr>
          <w:rFonts w:ascii="Arial" w:hAnsi="Arial" w:cs="Arial"/>
          <w:color w:val="000000"/>
          <w:sz w:val="21"/>
          <w:szCs w:val="21"/>
        </w:rPr>
        <w:t>Prices in t</w:t>
      </w:r>
      <w:r w:rsidR="00E255E5" w:rsidRPr="00C13C15">
        <w:rPr>
          <w:rFonts w:ascii="Arial" w:hAnsi="Arial" w:cs="Arial"/>
          <w:color w:val="000000"/>
          <w:sz w:val="21"/>
          <w:szCs w:val="21"/>
        </w:rPr>
        <w:t xml:space="preserve">he Alcoholic beverages and tobacco group </w:t>
      </w:r>
      <w:r w:rsidR="005C35ED">
        <w:rPr>
          <w:rFonts w:ascii="Arial" w:hAnsi="Arial" w:cs="Arial"/>
          <w:color w:val="000000"/>
          <w:sz w:val="21"/>
          <w:szCs w:val="21"/>
        </w:rPr>
        <w:t xml:space="preserve">went </w:t>
      </w:r>
      <w:r w:rsidR="0095360A">
        <w:rPr>
          <w:rFonts w:ascii="Arial" w:hAnsi="Arial" w:cs="Arial"/>
          <w:color w:val="000000"/>
          <w:sz w:val="21"/>
          <w:szCs w:val="21"/>
        </w:rPr>
        <w:t>up</w:t>
      </w:r>
      <w:r w:rsidR="005C35ED">
        <w:rPr>
          <w:rFonts w:ascii="Arial" w:hAnsi="Arial" w:cs="Arial"/>
          <w:color w:val="000000"/>
          <w:sz w:val="21"/>
          <w:szCs w:val="21"/>
        </w:rPr>
        <w:t xml:space="preserve"> </w:t>
      </w:r>
      <w:r w:rsidR="0095360A" w:rsidRPr="00F67E05">
        <w:rPr>
          <w:rFonts w:ascii="Arial" w:hAnsi="Arial" w:cs="Arial"/>
          <w:color w:val="000000"/>
          <w:sz w:val="21"/>
          <w:szCs w:val="21"/>
        </w:rPr>
        <w:t>12.1</w:t>
      </w:r>
      <w:r w:rsidR="005C35ED">
        <w:rPr>
          <w:rFonts w:ascii="Arial" w:hAnsi="Arial" w:cs="Arial"/>
          <w:color w:val="000000"/>
          <w:sz w:val="21"/>
          <w:szCs w:val="21"/>
        </w:rPr>
        <w:t xml:space="preserve"> </w:t>
      </w:r>
      <w:r w:rsidR="00263F65">
        <w:rPr>
          <w:rFonts w:ascii="Arial" w:hAnsi="Arial" w:cs="Arial"/>
          <w:color w:val="000000"/>
          <w:sz w:val="21"/>
          <w:szCs w:val="21"/>
        </w:rPr>
        <w:t>percent</w:t>
      </w:r>
      <w:r w:rsidR="0095360A">
        <w:rPr>
          <w:rFonts w:ascii="Arial" w:hAnsi="Arial" w:cs="Arial"/>
          <w:color w:val="000000"/>
          <w:sz w:val="21"/>
          <w:szCs w:val="21"/>
        </w:rPr>
        <w:t>,</w:t>
      </w:r>
      <w:r w:rsidR="00263F65">
        <w:rPr>
          <w:rFonts w:ascii="Arial" w:hAnsi="Arial" w:cs="Arial"/>
          <w:color w:val="000000"/>
          <w:sz w:val="21"/>
          <w:szCs w:val="21"/>
        </w:rPr>
        <w:t xml:space="preserve"> contributi</w:t>
      </w:r>
      <w:r w:rsidR="0095360A">
        <w:rPr>
          <w:rFonts w:ascii="Arial" w:hAnsi="Arial" w:cs="Arial"/>
          <w:color w:val="000000"/>
          <w:sz w:val="21"/>
          <w:szCs w:val="21"/>
        </w:rPr>
        <w:t xml:space="preserve">ng </w:t>
      </w:r>
      <w:r w:rsidR="0095360A" w:rsidRPr="00F67E05">
        <w:rPr>
          <w:rFonts w:ascii="Arial" w:hAnsi="Arial" w:cs="Arial"/>
          <w:color w:val="000000"/>
          <w:sz w:val="21"/>
          <w:szCs w:val="21"/>
        </w:rPr>
        <w:t>3.7</w:t>
      </w:r>
      <w:r w:rsidR="0095360A">
        <w:rPr>
          <w:rFonts w:ascii="Arial" w:hAnsi="Arial" w:cs="Arial"/>
          <w:color w:val="000000"/>
          <w:sz w:val="21"/>
          <w:szCs w:val="21"/>
        </w:rPr>
        <w:t xml:space="preserve"> percent</w:t>
      </w:r>
      <w:r w:rsidR="00263F65">
        <w:rPr>
          <w:rFonts w:ascii="Arial" w:hAnsi="Arial" w:cs="Arial"/>
          <w:color w:val="000000"/>
          <w:sz w:val="21"/>
          <w:szCs w:val="21"/>
        </w:rPr>
        <w:t xml:space="preserve"> to CPI</w:t>
      </w:r>
      <w:r w:rsidR="00053FCC" w:rsidRPr="00C13C15">
        <w:rPr>
          <w:rFonts w:ascii="Arial" w:hAnsi="Arial" w:cs="Arial"/>
          <w:color w:val="000000"/>
          <w:sz w:val="21"/>
          <w:szCs w:val="21"/>
        </w:rPr>
        <w:t xml:space="preserve"> this quarter</w:t>
      </w:r>
      <w:r w:rsidR="00951963">
        <w:rPr>
          <w:rFonts w:ascii="Arial" w:hAnsi="Arial" w:cs="Arial"/>
          <w:color w:val="000000"/>
          <w:sz w:val="21"/>
          <w:szCs w:val="21"/>
        </w:rPr>
        <w:t>.</w:t>
      </w:r>
      <w:r w:rsidR="006120F6">
        <w:rPr>
          <w:rFonts w:ascii="Arial" w:hAnsi="Arial" w:cs="Arial"/>
          <w:color w:val="000000"/>
          <w:sz w:val="21"/>
          <w:szCs w:val="21"/>
        </w:rPr>
        <w:t xml:space="preserve"> This increase</w:t>
      </w:r>
      <w:r w:rsidR="00DD5868">
        <w:rPr>
          <w:rFonts w:ascii="Arial" w:hAnsi="Arial" w:cs="Arial"/>
          <w:color w:val="000000"/>
          <w:sz w:val="21"/>
          <w:szCs w:val="21"/>
        </w:rPr>
        <w:t xml:space="preserve"> </w:t>
      </w:r>
      <w:r w:rsidR="00272496">
        <w:rPr>
          <w:rFonts w:ascii="Arial" w:hAnsi="Arial" w:cs="Arial"/>
          <w:color w:val="000000"/>
          <w:sz w:val="21"/>
          <w:szCs w:val="21"/>
        </w:rPr>
        <w:t xml:space="preserve">is due </w:t>
      </w:r>
      <w:r w:rsidR="00DD5868">
        <w:rPr>
          <w:rFonts w:ascii="Arial" w:hAnsi="Arial" w:cs="Arial"/>
          <w:color w:val="000000"/>
          <w:sz w:val="21"/>
          <w:szCs w:val="21"/>
        </w:rPr>
        <w:t>en</w:t>
      </w:r>
      <w:r w:rsidR="00542242">
        <w:rPr>
          <w:rFonts w:ascii="Arial" w:hAnsi="Arial" w:cs="Arial"/>
          <w:color w:val="000000"/>
          <w:sz w:val="21"/>
          <w:szCs w:val="21"/>
        </w:rPr>
        <w:t>t</w:t>
      </w:r>
      <w:r w:rsidR="00DD5868">
        <w:rPr>
          <w:rFonts w:ascii="Arial" w:hAnsi="Arial" w:cs="Arial"/>
          <w:color w:val="000000"/>
          <w:sz w:val="21"/>
          <w:szCs w:val="21"/>
        </w:rPr>
        <w:t>ir</w:t>
      </w:r>
      <w:r w:rsidR="00542242">
        <w:rPr>
          <w:rFonts w:ascii="Arial" w:hAnsi="Arial" w:cs="Arial"/>
          <w:color w:val="000000"/>
          <w:sz w:val="21"/>
          <w:szCs w:val="21"/>
        </w:rPr>
        <w:t xml:space="preserve">ely </w:t>
      </w:r>
      <w:r w:rsidR="00272496">
        <w:rPr>
          <w:rFonts w:ascii="Arial" w:hAnsi="Arial" w:cs="Arial"/>
          <w:color w:val="000000"/>
          <w:sz w:val="21"/>
          <w:szCs w:val="21"/>
        </w:rPr>
        <w:t xml:space="preserve">to a </w:t>
      </w:r>
      <w:r w:rsidR="00272496" w:rsidRPr="00F67E05">
        <w:rPr>
          <w:rFonts w:ascii="Arial" w:hAnsi="Arial" w:cs="Arial"/>
          <w:color w:val="000000"/>
          <w:sz w:val="21"/>
          <w:szCs w:val="21"/>
        </w:rPr>
        <w:t>17</w:t>
      </w:r>
      <w:r w:rsidR="00272496">
        <w:rPr>
          <w:rFonts w:ascii="Arial" w:hAnsi="Arial" w:cs="Arial"/>
          <w:color w:val="000000"/>
          <w:sz w:val="21"/>
          <w:szCs w:val="21"/>
        </w:rPr>
        <w:t xml:space="preserve"> percent</w:t>
      </w:r>
      <w:r w:rsidR="006120F6">
        <w:rPr>
          <w:rFonts w:ascii="Arial" w:hAnsi="Arial" w:cs="Arial"/>
          <w:color w:val="000000"/>
          <w:sz w:val="21"/>
          <w:szCs w:val="21"/>
        </w:rPr>
        <w:t xml:space="preserve"> increase in price</w:t>
      </w:r>
      <w:r w:rsidR="00272496">
        <w:rPr>
          <w:rFonts w:ascii="Arial" w:hAnsi="Arial" w:cs="Arial"/>
          <w:color w:val="000000"/>
          <w:sz w:val="21"/>
          <w:szCs w:val="21"/>
        </w:rPr>
        <w:t>s</w:t>
      </w:r>
      <w:r w:rsidR="006120F6">
        <w:rPr>
          <w:rFonts w:ascii="Arial" w:hAnsi="Arial" w:cs="Arial"/>
          <w:color w:val="000000"/>
          <w:sz w:val="21"/>
          <w:szCs w:val="21"/>
        </w:rPr>
        <w:t xml:space="preserve"> for </w:t>
      </w:r>
      <w:r w:rsidR="00542242">
        <w:rPr>
          <w:rFonts w:ascii="Arial" w:hAnsi="Arial" w:cs="Arial"/>
          <w:color w:val="000000"/>
          <w:sz w:val="21"/>
          <w:szCs w:val="21"/>
        </w:rPr>
        <w:t>c</w:t>
      </w:r>
      <w:r w:rsidR="006120F6">
        <w:rPr>
          <w:rFonts w:ascii="Arial" w:hAnsi="Arial" w:cs="Arial"/>
          <w:color w:val="000000"/>
          <w:sz w:val="21"/>
          <w:szCs w:val="21"/>
        </w:rPr>
        <w:t>igarette</w:t>
      </w:r>
      <w:r w:rsidR="00272496">
        <w:rPr>
          <w:rFonts w:ascii="Arial" w:hAnsi="Arial" w:cs="Arial"/>
          <w:color w:val="000000"/>
          <w:sz w:val="21"/>
          <w:szCs w:val="21"/>
        </w:rPr>
        <w:t>s</w:t>
      </w:r>
      <w:r w:rsidR="006120F6">
        <w:rPr>
          <w:rFonts w:ascii="Arial" w:hAnsi="Arial" w:cs="Arial"/>
          <w:color w:val="000000"/>
          <w:sz w:val="21"/>
          <w:szCs w:val="21"/>
        </w:rPr>
        <w:t xml:space="preserve"> in Fakaofo</w:t>
      </w:r>
      <w:r w:rsidR="00542242">
        <w:rPr>
          <w:rFonts w:ascii="Arial" w:hAnsi="Arial" w:cs="Arial"/>
          <w:color w:val="000000"/>
          <w:sz w:val="21"/>
          <w:szCs w:val="21"/>
        </w:rPr>
        <w:t>, implemented by the Taupulega (village council) to further discourage smoking</w:t>
      </w:r>
      <w:r w:rsidR="006120F6">
        <w:rPr>
          <w:rFonts w:ascii="Arial" w:hAnsi="Arial" w:cs="Arial"/>
          <w:color w:val="000000"/>
          <w:sz w:val="21"/>
          <w:szCs w:val="21"/>
        </w:rPr>
        <w:t xml:space="preserve">. </w:t>
      </w:r>
      <w:r w:rsidR="00951963">
        <w:rPr>
          <w:rFonts w:ascii="Arial" w:hAnsi="Arial" w:cs="Arial"/>
          <w:color w:val="000000"/>
          <w:sz w:val="21"/>
          <w:szCs w:val="21"/>
        </w:rPr>
        <w:t xml:space="preserve">This </w:t>
      </w:r>
      <w:r w:rsidR="00542242">
        <w:rPr>
          <w:rFonts w:ascii="Arial" w:hAnsi="Arial" w:cs="Arial"/>
          <w:color w:val="000000"/>
          <w:sz w:val="21"/>
          <w:szCs w:val="21"/>
        </w:rPr>
        <w:t xml:space="preserve">increase </w:t>
      </w:r>
      <w:r w:rsidR="00103278">
        <w:rPr>
          <w:rFonts w:ascii="Arial" w:hAnsi="Arial" w:cs="Arial"/>
          <w:color w:val="000000"/>
          <w:sz w:val="21"/>
          <w:szCs w:val="21"/>
        </w:rPr>
        <w:t>c</w:t>
      </w:r>
      <w:r w:rsidR="00053FCC" w:rsidRPr="00C13C15">
        <w:rPr>
          <w:rFonts w:ascii="Arial" w:hAnsi="Arial" w:cs="Arial"/>
          <w:color w:val="000000"/>
          <w:sz w:val="21"/>
          <w:szCs w:val="21"/>
        </w:rPr>
        <w:t>ompare</w:t>
      </w:r>
      <w:r w:rsidR="00103278">
        <w:rPr>
          <w:rFonts w:ascii="Arial" w:hAnsi="Arial" w:cs="Arial"/>
          <w:color w:val="000000"/>
          <w:sz w:val="21"/>
          <w:szCs w:val="21"/>
        </w:rPr>
        <w:t>s</w:t>
      </w:r>
      <w:r w:rsidR="00053FCC" w:rsidRPr="00C13C15">
        <w:rPr>
          <w:rFonts w:ascii="Arial" w:hAnsi="Arial" w:cs="Arial"/>
          <w:color w:val="000000"/>
          <w:sz w:val="21"/>
          <w:szCs w:val="21"/>
        </w:rPr>
        <w:t xml:space="preserve"> to</w:t>
      </w:r>
      <w:r w:rsidR="00537087" w:rsidRPr="00C13C15">
        <w:rPr>
          <w:rFonts w:ascii="Arial" w:hAnsi="Arial" w:cs="Arial"/>
          <w:color w:val="000000"/>
          <w:sz w:val="21"/>
          <w:szCs w:val="21"/>
        </w:rPr>
        <w:t xml:space="preserve"> </w:t>
      </w:r>
      <w:r w:rsidR="00103278">
        <w:rPr>
          <w:rFonts w:ascii="Arial" w:hAnsi="Arial" w:cs="Arial"/>
          <w:color w:val="000000"/>
          <w:sz w:val="21"/>
          <w:szCs w:val="21"/>
        </w:rPr>
        <w:t xml:space="preserve">a </w:t>
      </w:r>
      <w:r w:rsidR="006120F6">
        <w:rPr>
          <w:rFonts w:ascii="Arial" w:hAnsi="Arial" w:cs="Arial"/>
          <w:color w:val="000000"/>
          <w:sz w:val="21"/>
          <w:szCs w:val="21"/>
        </w:rPr>
        <w:t>negligible</w:t>
      </w:r>
      <w:r>
        <w:rPr>
          <w:rFonts w:ascii="Arial" w:hAnsi="Arial" w:cs="Arial"/>
          <w:color w:val="000000"/>
          <w:sz w:val="21"/>
          <w:szCs w:val="21"/>
        </w:rPr>
        <w:t xml:space="preserve"> contribution to CPI</w:t>
      </w:r>
      <w:r w:rsidR="007075E9" w:rsidRPr="00C13C15">
        <w:rPr>
          <w:rFonts w:ascii="Arial" w:hAnsi="Arial" w:cs="Arial"/>
          <w:color w:val="000000"/>
          <w:sz w:val="21"/>
          <w:szCs w:val="21"/>
        </w:rPr>
        <w:t xml:space="preserve"> </w:t>
      </w:r>
      <w:r w:rsidR="00053FCC" w:rsidRPr="00C13C15">
        <w:rPr>
          <w:rFonts w:ascii="Arial" w:hAnsi="Arial" w:cs="Arial"/>
          <w:color w:val="000000"/>
          <w:sz w:val="21"/>
          <w:szCs w:val="21"/>
        </w:rPr>
        <w:t xml:space="preserve">in the </w:t>
      </w:r>
      <w:r w:rsidR="0095360A">
        <w:rPr>
          <w:rFonts w:ascii="Arial" w:hAnsi="Arial" w:cs="Arial"/>
          <w:color w:val="000000"/>
          <w:sz w:val="21"/>
          <w:szCs w:val="21"/>
        </w:rPr>
        <w:t>June</w:t>
      </w:r>
      <w:r w:rsidR="008C637D">
        <w:rPr>
          <w:rFonts w:ascii="Arial" w:hAnsi="Arial" w:cs="Arial"/>
          <w:color w:val="000000"/>
          <w:sz w:val="21"/>
          <w:szCs w:val="21"/>
        </w:rPr>
        <w:t xml:space="preserve"> 2018</w:t>
      </w:r>
      <w:r w:rsidR="00053FCC" w:rsidRPr="00C13C15">
        <w:rPr>
          <w:rFonts w:ascii="Arial" w:hAnsi="Arial" w:cs="Arial"/>
          <w:color w:val="000000"/>
          <w:sz w:val="21"/>
          <w:szCs w:val="21"/>
        </w:rPr>
        <w:t xml:space="preserve"> quarter.</w:t>
      </w:r>
      <w:r w:rsidR="00606B1E">
        <w:rPr>
          <w:rFonts w:ascii="Arial" w:hAnsi="Arial" w:cs="Arial"/>
          <w:sz w:val="21"/>
          <w:szCs w:val="21"/>
          <w:lang w:val="en-NZ" w:eastAsia="en-NZ"/>
        </w:rPr>
        <w:t xml:space="preserve"> </w:t>
      </w:r>
    </w:p>
    <w:p w14:paraId="393F7890" w14:textId="77777777" w:rsidR="00D113F5" w:rsidRPr="00D113F5" w:rsidRDefault="00D113F5" w:rsidP="00D113F5">
      <w:pPr>
        <w:autoSpaceDE w:val="0"/>
        <w:autoSpaceDN w:val="0"/>
        <w:adjustRightInd w:val="0"/>
        <w:spacing w:after="0"/>
        <w:rPr>
          <w:rFonts w:ascii="Arial" w:hAnsi="Arial" w:cs="Arial"/>
          <w:sz w:val="21"/>
          <w:szCs w:val="21"/>
          <w:lang w:val="en-NZ" w:eastAsia="en-NZ"/>
        </w:rPr>
      </w:pPr>
    </w:p>
    <w:p w14:paraId="28ED710A" w14:textId="3FFBB6C7" w:rsidR="006120F6" w:rsidRPr="00C13C15" w:rsidRDefault="00EF5760" w:rsidP="00E955C5">
      <w:pPr>
        <w:rPr>
          <w:sz w:val="26"/>
          <w:szCs w:val="26"/>
        </w:rPr>
      </w:pPr>
      <w:r w:rsidRPr="00710843">
        <w:rPr>
          <w:rFonts w:ascii="Arial" w:hAnsi="Arial" w:cs="Arial"/>
          <w:sz w:val="21"/>
          <w:szCs w:val="21"/>
        </w:rPr>
        <w:t xml:space="preserve">For the </w:t>
      </w:r>
      <w:r w:rsidR="006120F6">
        <w:rPr>
          <w:rFonts w:ascii="Arial" w:hAnsi="Arial" w:cs="Arial"/>
          <w:sz w:val="21"/>
          <w:szCs w:val="21"/>
        </w:rPr>
        <w:t>September</w:t>
      </w:r>
      <w:r w:rsidR="00D47E2F" w:rsidRPr="00710843">
        <w:rPr>
          <w:rFonts w:ascii="Arial" w:hAnsi="Arial" w:cs="Arial"/>
          <w:sz w:val="21"/>
          <w:szCs w:val="21"/>
        </w:rPr>
        <w:t xml:space="preserve"> </w:t>
      </w:r>
      <w:r w:rsidR="00E67756" w:rsidRPr="00710843">
        <w:rPr>
          <w:rFonts w:ascii="Arial" w:hAnsi="Arial" w:cs="Arial"/>
          <w:sz w:val="21"/>
          <w:szCs w:val="21"/>
        </w:rPr>
        <w:t>201</w:t>
      </w:r>
      <w:r w:rsidR="00D47E2F">
        <w:rPr>
          <w:rFonts w:ascii="Arial" w:hAnsi="Arial" w:cs="Arial"/>
          <w:sz w:val="21"/>
          <w:szCs w:val="21"/>
        </w:rPr>
        <w:t>8</w:t>
      </w:r>
      <w:r w:rsidRPr="00710843">
        <w:rPr>
          <w:rFonts w:ascii="Arial" w:hAnsi="Arial" w:cs="Arial"/>
          <w:sz w:val="21"/>
          <w:szCs w:val="21"/>
        </w:rPr>
        <w:t xml:space="preserve"> quarter</w:t>
      </w:r>
      <w:r w:rsidR="005D5261">
        <w:rPr>
          <w:rFonts w:ascii="Arial" w:hAnsi="Arial" w:cs="Arial"/>
          <w:sz w:val="21"/>
          <w:szCs w:val="21"/>
        </w:rPr>
        <w:t xml:space="preserve"> compared to the same period in the previous year</w:t>
      </w:r>
      <w:r w:rsidRPr="00710843">
        <w:rPr>
          <w:rFonts w:ascii="Arial" w:hAnsi="Arial" w:cs="Arial"/>
          <w:sz w:val="21"/>
          <w:szCs w:val="21"/>
        </w:rPr>
        <w:t>, Alcoholic beverages and tobacco prices</w:t>
      </w:r>
      <w:r w:rsidR="00606B1E">
        <w:rPr>
          <w:rFonts w:ascii="Arial" w:hAnsi="Arial" w:cs="Arial"/>
          <w:sz w:val="21"/>
          <w:szCs w:val="21"/>
        </w:rPr>
        <w:t xml:space="preserve"> increased by </w:t>
      </w:r>
      <w:r w:rsidR="00606B1E" w:rsidRPr="009E649F">
        <w:rPr>
          <w:rFonts w:ascii="Arial" w:hAnsi="Arial" w:cs="Arial"/>
          <w:sz w:val="21"/>
          <w:szCs w:val="21"/>
        </w:rPr>
        <w:t>20</w:t>
      </w:r>
      <w:r w:rsidR="00606B1E">
        <w:rPr>
          <w:rFonts w:ascii="Arial" w:hAnsi="Arial" w:cs="Arial"/>
          <w:sz w:val="21"/>
          <w:szCs w:val="21"/>
        </w:rPr>
        <w:t xml:space="preserve"> per</w:t>
      </w:r>
      <w:r w:rsidR="000A7AD9">
        <w:rPr>
          <w:rFonts w:ascii="Arial" w:hAnsi="Arial" w:cs="Arial"/>
          <w:sz w:val="21"/>
          <w:szCs w:val="21"/>
        </w:rPr>
        <w:t>cent</w:t>
      </w:r>
      <w:r w:rsidR="00E955C5">
        <w:rPr>
          <w:rFonts w:ascii="Arial" w:hAnsi="Arial" w:cs="Arial"/>
          <w:sz w:val="21"/>
          <w:szCs w:val="21"/>
        </w:rPr>
        <w:t>, contributing</w:t>
      </w:r>
      <w:r w:rsidR="00537087" w:rsidRPr="00710843">
        <w:rPr>
          <w:rFonts w:ascii="Arial" w:hAnsi="Arial" w:cs="Arial"/>
          <w:sz w:val="21"/>
          <w:szCs w:val="21"/>
        </w:rPr>
        <w:t xml:space="preserve"> </w:t>
      </w:r>
      <w:r w:rsidR="000A7AD9" w:rsidRPr="009E649F">
        <w:rPr>
          <w:rFonts w:ascii="Arial" w:hAnsi="Arial" w:cs="Arial"/>
          <w:sz w:val="21"/>
          <w:szCs w:val="21"/>
        </w:rPr>
        <w:t>5.</w:t>
      </w:r>
      <w:r w:rsidR="003C30D5">
        <w:rPr>
          <w:rFonts w:ascii="Arial" w:hAnsi="Arial" w:cs="Arial"/>
          <w:sz w:val="21"/>
          <w:szCs w:val="21"/>
        </w:rPr>
        <w:t>7</w:t>
      </w:r>
      <w:r w:rsidR="000A7AD9">
        <w:rPr>
          <w:rFonts w:ascii="Arial" w:hAnsi="Arial" w:cs="Arial"/>
          <w:sz w:val="21"/>
          <w:szCs w:val="21"/>
        </w:rPr>
        <w:t xml:space="preserve"> percent </w:t>
      </w:r>
      <w:r w:rsidR="00537087" w:rsidRPr="00710843">
        <w:rPr>
          <w:rFonts w:ascii="Arial" w:hAnsi="Arial" w:cs="Arial"/>
          <w:sz w:val="21"/>
          <w:szCs w:val="21"/>
        </w:rPr>
        <w:t xml:space="preserve">to the </w:t>
      </w:r>
      <w:r w:rsidR="00E955C5">
        <w:rPr>
          <w:rFonts w:ascii="Arial" w:hAnsi="Arial" w:cs="Arial"/>
          <w:sz w:val="21"/>
          <w:szCs w:val="21"/>
        </w:rPr>
        <w:t xml:space="preserve">annual inflation rate of </w:t>
      </w:r>
      <w:r w:rsidR="003C30D5">
        <w:rPr>
          <w:rFonts w:ascii="Arial" w:hAnsi="Arial" w:cs="Arial"/>
          <w:sz w:val="21"/>
          <w:szCs w:val="21"/>
        </w:rPr>
        <w:t>4</w:t>
      </w:r>
      <w:r w:rsidR="006120F6" w:rsidRPr="009E649F">
        <w:rPr>
          <w:rFonts w:ascii="Arial" w:hAnsi="Arial" w:cs="Arial"/>
          <w:sz w:val="21"/>
          <w:szCs w:val="21"/>
        </w:rPr>
        <w:t>.</w:t>
      </w:r>
      <w:r w:rsidR="003C30D5">
        <w:rPr>
          <w:rFonts w:ascii="Arial" w:hAnsi="Arial" w:cs="Arial"/>
          <w:sz w:val="21"/>
          <w:szCs w:val="21"/>
        </w:rPr>
        <w:t>8</w:t>
      </w:r>
      <w:r w:rsidR="000A7AD9">
        <w:rPr>
          <w:rFonts w:ascii="Arial" w:hAnsi="Arial" w:cs="Arial"/>
          <w:sz w:val="21"/>
          <w:szCs w:val="21"/>
        </w:rPr>
        <w:t xml:space="preserve"> </w:t>
      </w:r>
      <w:r w:rsidR="00E955C5" w:rsidRPr="008070BF">
        <w:rPr>
          <w:rFonts w:ascii="Arial" w:hAnsi="Arial" w:cs="Arial"/>
          <w:sz w:val="21"/>
          <w:szCs w:val="21"/>
        </w:rPr>
        <w:t>percent</w:t>
      </w:r>
      <w:r w:rsidR="00E955C5">
        <w:rPr>
          <w:rFonts w:ascii="Arial" w:hAnsi="Arial" w:cs="Arial"/>
          <w:sz w:val="21"/>
          <w:szCs w:val="21"/>
        </w:rPr>
        <w:t>.</w:t>
      </w:r>
      <w:bookmarkStart w:id="19" w:name="_Summary_of_other_3"/>
      <w:bookmarkEnd w:id="19"/>
    </w:p>
    <w:p w14:paraId="31613F46" w14:textId="6BCA0879" w:rsidR="006C377E" w:rsidRPr="00AD1D29" w:rsidRDefault="006C377E" w:rsidP="00AD1D29">
      <w:pPr>
        <w:rPr>
          <w:sz w:val="26"/>
          <w:szCs w:val="26"/>
        </w:rPr>
      </w:pPr>
      <w:bookmarkStart w:id="20" w:name="_Summary_of_other_4"/>
      <w:bookmarkEnd w:id="20"/>
      <w:r w:rsidRPr="00AD1D29">
        <w:rPr>
          <w:rFonts w:ascii="Arial" w:hAnsi="Arial" w:cs="Arial"/>
          <w:b/>
          <w:sz w:val="26"/>
          <w:szCs w:val="26"/>
        </w:rPr>
        <w:t xml:space="preserve">Summary of other group movements in the </w:t>
      </w:r>
      <w:r w:rsidR="00495CAE" w:rsidRPr="00AD1D29">
        <w:rPr>
          <w:rFonts w:ascii="Arial" w:hAnsi="Arial" w:cs="Arial"/>
          <w:b/>
          <w:sz w:val="26"/>
          <w:szCs w:val="26"/>
        </w:rPr>
        <w:t xml:space="preserve">quarterly </w:t>
      </w:r>
      <w:r w:rsidRPr="00AD1D29">
        <w:rPr>
          <w:rFonts w:ascii="Arial" w:hAnsi="Arial" w:cs="Arial"/>
          <w:b/>
          <w:sz w:val="26"/>
          <w:szCs w:val="26"/>
        </w:rPr>
        <w:t>CPI</w:t>
      </w:r>
    </w:p>
    <w:p w14:paraId="22B4478E" w14:textId="7484F62C" w:rsidR="00D03D61" w:rsidRDefault="00AB00E9" w:rsidP="005A4520">
      <w:pPr>
        <w:rPr>
          <w:sz w:val="21"/>
          <w:szCs w:val="21"/>
        </w:rPr>
      </w:pPr>
      <w:r>
        <w:rPr>
          <w:rFonts w:ascii="Arial" w:hAnsi="Arial" w:cs="Arial"/>
          <w:sz w:val="21"/>
          <w:szCs w:val="21"/>
          <w:lang w:val="en-GB" w:eastAsia="en-US"/>
        </w:rPr>
        <w:t xml:space="preserve">The </w:t>
      </w:r>
      <w:r w:rsidR="00D6094B">
        <w:rPr>
          <w:rFonts w:ascii="Arial" w:hAnsi="Arial" w:cs="Arial"/>
          <w:sz w:val="21"/>
          <w:szCs w:val="21"/>
          <w:lang w:val="en-GB" w:eastAsia="en-US"/>
        </w:rPr>
        <w:t>T</w:t>
      </w:r>
      <w:r>
        <w:rPr>
          <w:rFonts w:ascii="Arial" w:hAnsi="Arial" w:cs="Arial"/>
          <w:sz w:val="21"/>
          <w:szCs w:val="21"/>
          <w:lang w:val="en-GB" w:eastAsia="en-US"/>
        </w:rPr>
        <w:t xml:space="preserve">ransport group showed price </w:t>
      </w:r>
      <w:r w:rsidR="00BE4CEA">
        <w:rPr>
          <w:rFonts w:ascii="Arial" w:hAnsi="Arial" w:cs="Arial"/>
          <w:sz w:val="21"/>
          <w:szCs w:val="21"/>
          <w:lang w:val="en-GB" w:eastAsia="en-US"/>
        </w:rPr>
        <w:t>de</w:t>
      </w:r>
      <w:r>
        <w:rPr>
          <w:rFonts w:ascii="Arial" w:hAnsi="Arial" w:cs="Arial"/>
          <w:sz w:val="21"/>
          <w:szCs w:val="21"/>
          <w:lang w:val="en-GB" w:eastAsia="en-US"/>
        </w:rPr>
        <w:t xml:space="preserve">creases </w:t>
      </w:r>
      <w:r w:rsidRPr="00905587">
        <w:rPr>
          <w:rFonts w:ascii="Arial" w:hAnsi="Arial" w:cs="Arial"/>
          <w:sz w:val="21"/>
          <w:szCs w:val="21"/>
          <w:lang w:val="en-GB" w:eastAsia="en-US"/>
        </w:rPr>
        <w:t xml:space="preserve">of </w:t>
      </w:r>
      <w:r w:rsidR="00D03D61" w:rsidRPr="00905587">
        <w:rPr>
          <w:rFonts w:ascii="Arial" w:hAnsi="Arial" w:cs="Arial"/>
          <w:sz w:val="21"/>
          <w:szCs w:val="21"/>
          <w:lang w:val="en-GB" w:eastAsia="en-US"/>
        </w:rPr>
        <w:t>1</w:t>
      </w:r>
      <w:r w:rsidR="00BE4CEA" w:rsidRPr="00905587">
        <w:rPr>
          <w:rFonts w:ascii="Arial" w:hAnsi="Arial" w:cs="Arial"/>
          <w:sz w:val="21"/>
          <w:szCs w:val="21"/>
          <w:lang w:val="en-GB" w:eastAsia="en-US"/>
        </w:rPr>
        <w:t>4</w:t>
      </w:r>
      <w:r w:rsidR="00D03D61">
        <w:rPr>
          <w:rFonts w:ascii="Arial" w:hAnsi="Arial" w:cs="Arial"/>
          <w:sz w:val="21"/>
          <w:szCs w:val="21"/>
          <w:lang w:val="en-GB" w:eastAsia="en-US"/>
        </w:rPr>
        <w:t xml:space="preserve"> percent, contributing a </w:t>
      </w:r>
      <w:r w:rsidR="00BE4CEA">
        <w:rPr>
          <w:rFonts w:ascii="Arial" w:hAnsi="Arial" w:cs="Arial"/>
          <w:sz w:val="21"/>
          <w:szCs w:val="21"/>
          <w:lang w:val="en-GB" w:eastAsia="en-US"/>
        </w:rPr>
        <w:t>negative</w:t>
      </w:r>
      <w:r w:rsidR="00D03D61">
        <w:rPr>
          <w:rFonts w:ascii="Arial" w:hAnsi="Arial" w:cs="Arial"/>
          <w:sz w:val="21"/>
          <w:szCs w:val="21"/>
          <w:lang w:val="en-GB" w:eastAsia="en-US"/>
        </w:rPr>
        <w:t xml:space="preserve"> </w:t>
      </w:r>
      <w:r w:rsidR="00BE4CEA">
        <w:rPr>
          <w:rFonts w:ascii="Arial" w:hAnsi="Arial" w:cs="Arial"/>
          <w:sz w:val="21"/>
          <w:szCs w:val="21"/>
          <w:lang w:val="en-GB" w:eastAsia="en-US"/>
        </w:rPr>
        <w:t>1</w:t>
      </w:r>
      <w:r w:rsidR="00D03D61">
        <w:rPr>
          <w:rFonts w:ascii="Arial" w:hAnsi="Arial" w:cs="Arial"/>
          <w:sz w:val="21"/>
          <w:szCs w:val="21"/>
          <w:lang w:val="en-GB" w:eastAsia="en-US"/>
        </w:rPr>
        <w:t>.</w:t>
      </w:r>
      <w:r w:rsidR="00BE4CEA">
        <w:rPr>
          <w:rFonts w:ascii="Arial" w:hAnsi="Arial" w:cs="Arial"/>
          <w:sz w:val="21"/>
          <w:szCs w:val="21"/>
          <w:lang w:val="en-GB" w:eastAsia="en-US"/>
        </w:rPr>
        <w:t>0</w:t>
      </w:r>
      <w:r w:rsidR="00D03D61">
        <w:rPr>
          <w:rFonts w:ascii="Arial" w:hAnsi="Arial" w:cs="Arial"/>
          <w:sz w:val="21"/>
          <w:szCs w:val="21"/>
          <w:lang w:val="en-GB" w:eastAsia="en-US"/>
        </w:rPr>
        <w:t xml:space="preserve"> percent</w:t>
      </w:r>
      <w:r w:rsidR="00FC1DBA">
        <w:rPr>
          <w:rFonts w:ascii="Arial" w:hAnsi="Arial" w:cs="Arial"/>
          <w:sz w:val="21"/>
          <w:szCs w:val="21"/>
          <w:lang w:val="en-GB" w:eastAsia="en-US"/>
        </w:rPr>
        <w:t xml:space="preserve"> to CPI</w:t>
      </w:r>
      <w:r w:rsidR="00D03D61">
        <w:rPr>
          <w:rFonts w:ascii="Arial" w:hAnsi="Arial" w:cs="Arial"/>
          <w:sz w:val="21"/>
          <w:szCs w:val="21"/>
          <w:lang w:val="en-GB" w:eastAsia="en-US"/>
        </w:rPr>
        <w:t xml:space="preserve">. </w:t>
      </w:r>
      <w:r w:rsidR="00BE4CEA">
        <w:rPr>
          <w:rFonts w:ascii="Arial" w:hAnsi="Arial" w:cs="Arial"/>
          <w:sz w:val="21"/>
          <w:szCs w:val="21"/>
          <w:lang w:val="en-GB" w:eastAsia="en-US"/>
        </w:rPr>
        <w:t xml:space="preserve">The Recreation and culture group showed prices dropping by </w:t>
      </w:r>
      <w:r w:rsidR="00BE4CEA" w:rsidRPr="00905587">
        <w:rPr>
          <w:rFonts w:ascii="Arial" w:hAnsi="Arial" w:cs="Arial"/>
          <w:sz w:val="21"/>
          <w:szCs w:val="21"/>
          <w:lang w:val="en-GB" w:eastAsia="en-US"/>
        </w:rPr>
        <w:t>5.4</w:t>
      </w:r>
      <w:r w:rsidR="00BE4CEA">
        <w:rPr>
          <w:rFonts w:ascii="Arial" w:hAnsi="Arial" w:cs="Arial"/>
          <w:sz w:val="21"/>
          <w:szCs w:val="21"/>
          <w:lang w:val="en-GB" w:eastAsia="en-US"/>
        </w:rPr>
        <w:t xml:space="preserve"> percent, contribut</w:t>
      </w:r>
      <w:r w:rsidR="00FC1DBA">
        <w:rPr>
          <w:rFonts w:ascii="Arial" w:hAnsi="Arial" w:cs="Arial"/>
          <w:sz w:val="21"/>
          <w:szCs w:val="21"/>
          <w:lang w:val="en-GB" w:eastAsia="en-US"/>
        </w:rPr>
        <w:t>ing</w:t>
      </w:r>
      <w:r w:rsidR="00BE4CEA">
        <w:rPr>
          <w:rFonts w:ascii="Arial" w:hAnsi="Arial" w:cs="Arial"/>
          <w:sz w:val="21"/>
          <w:szCs w:val="21"/>
          <w:lang w:val="en-GB" w:eastAsia="en-US"/>
        </w:rPr>
        <w:t xml:space="preserve"> a negative 0.1</w:t>
      </w:r>
      <w:r w:rsidR="00FC1DBA">
        <w:rPr>
          <w:rFonts w:ascii="Arial" w:hAnsi="Arial" w:cs="Arial"/>
          <w:sz w:val="21"/>
          <w:szCs w:val="21"/>
          <w:lang w:val="en-GB" w:eastAsia="en-US"/>
        </w:rPr>
        <w:t xml:space="preserve"> </w:t>
      </w:r>
      <w:r w:rsidR="00FD7238">
        <w:rPr>
          <w:rFonts w:ascii="Arial" w:hAnsi="Arial" w:cs="Arial"/>
          <w:sz w:val="21"/>
          <w:szCs w:val="21"/>
          <w:lang w:val="en-GB" w:eastAsia="en-US"/>
        </w:rPr>
        <w:t xml:space="preserve">percent </w:t>
      </w:r>
      <w:r w:rsidR="00FC1DBA">
        <w:rPr>
          <w:rFonts w:ascii="Arial" w:hAnsi="Arial" w:cs="Arial"/>
          <w:sz w:val="21"/>
          <w:szCs w:val="21"/>
          <w:lang w:val="en-GB" w:eastAsia="en-US"/>
        </w:rPr>
        <w:t>to CPI</w:t>
      </w:r>
      <w:r w:rsidR="00BE4CEA">
        <w:rPr>
          <w:rFonts w:ascii="Arial" w:hAnsi="Arial" w:cs="Arial"/>
          <w:sz w:val="21"/>
          <w:szCs w:val="21"/>
          <w:lang w:val="en-GB" w:eastAsia="en-US"/>
        </w:rPr>
        <w:t>.</w:t>
      </w:r>
      <w:r w:rsidR="00DD5868">
        <w:rPr>
          <w:rFonts w:ascii="Arial" w:hAnsi="Arial" w:cs="Arial"/>
          <w:sz w:val="21"/>
          <w:szCs w:val="21"/>
          <w:lang w:val="en-GB" w:eastAsia="en-US"/>
        </w:rPr>
        <w:t xml:space="preserve"> </w:t>
      </w:r>
      <w:r w:rsidR="003D6FE6">
        <w:rPr>
          <w:rFonts w:ascii="Arial" w:hAnsi="Arial" w:cs="Arial"/>
          <w:sz w:val="21"/>
          <w:szCs w:val="21"/>
          <w:lang w:val="en-GB" w:eastAsia="en-US"/>
        </w:rPr>
        <w:t>Prices in t</w:t>
      </w:r>
      <w:r w:rsidR="00D03D61">
        <w:rPr>
          <w:rFonts w:ascii="Arial" w:hAnsi="Arial" w:cs="Arial"/>
          <w:sz w:val="21"/>
          <w:szCs w:val="21"/>
          <w:lang w:val="en-GB" w:eastAsia="en-US"/>
        </w:rPr>
        <w:t xml:space="preserve">he </w:t>
      </w:r>
      <w:r w:rsidR="00D6094B">
        <w:rPr>
          <w:rFonts w:ascii="Arial" w:hAnsi="Arial" w:cs="Arial"/>
          <w:sz w:val="21"/>
          <w:szCs w:val="21"/>
          <w:lang w:val="en-GB" w:eastAsia="en-US"/>
        </w:rPr>
        <w:t>H</w:t>
      </w:r>
      <w:r w:rsidR="00D03D61">
        <w:rPr>
          <w:rFonts w:ascii="Arial" w:hAnsi="Arial" w:cs="Arial"/>
          <w:sz w:val="21"/>
          <w:szCs w:val="21"/>
          <w:lang w:val="en-GB" w:eastAsia="en-US"/>
        </w:rPr>
        <w:t xml:space="preserve">ousing, water, electricity, gas and other fuels group </w:t>
      </w:r>
      <w:r w:rsidR="00BE4CEA">
        <w:rPr>
          <w:rFonts w:ascii="Arial" w:hAnsi="Arial" w:cs="Arial"/>
          <w:sz w:val="21"/>
          <w:szCs w:val="21"/>
          <w:lang w:val="en-GB" w:eastAsia="en-US"/>
        </w:rPr>
        <w:t>de</w:t>
      </w:r>
      <w:r w:rsidR="00D03D61">
        <w:rPr>
          <w:rFonts w:ascii="Arial" w:hAnsi="Arial" w:cs="Arial"/>
          <w:sz w:val="21"/>
          <w:szCs w:val="21"/>
          <w:lang w:val="en-GB" w:eastAsia="en-US"/>
        </w:rPr>
        <w:t xml:space="preserve">creased </w:t>
      </w:r>
      <w:r w:rsidR="00BE4CEA" w:rsidRPr="00905587">
        <w:rPr>
          <w:rFonts w:ascii="Arial" w:hAnsi="Arial" w:cs="Arial"/>
          <w:sz w:val="21"/>
          <w:szCs w:val="21"/>
          <w:lang w:val="en-GB" w:eastAsia="en-US"/>
        </w:rPr>
        <w:t>2</w:t>
      </w:r>
      <w:r w:rsidR="00D03D61" w:rsidRPr="006666C3">
        <w:rPr>
          <w:rFonts w:ascii="Arial" w:hAnsi="Arial" w:cs="Arial"/>
          <w:sz w:val="21"/>
          <w:szCs w:val="21"/>
          <w:lang w:val="en-GB" w:eastAsia="en-US"/>
        </w:rPr>
        <w:t>.</w:t>
      </w:r>
      <w:r w:rsidR="00224BE4">
        <w:rPr>
          <w:rFonts w:ascii="Arial" w:hAnsi="Arial" w:cs="Arial"/>
          <w:sz w:val="21"/>
          <w:szCs w:val="21"/>
          <w:lang w:val="en-GB" w:eastAsia="en-US"/>
        </w:rPr>
        <w:t>3</w:t>
      </w:r>
      <w:r w:rsidR="00D03D61">
        <w:rPr>
          <w:rFonts w:ascii="Arial" w:hAnsi="Arial" w:cs="Arial"/>
          <w:sz w:val="21"/>
          <w:szCs w:val="21"/>
          <w:lang w:val="en-GB" w:eastAsia="en-US"/>
        </w:rPr>
        <w:t xml:space="preserve"> percent, contribut</w:t>
      </w:r>
      <w:r w:rsidR="00FC1DBA">
        <w:rPr>
          <w:rFonts w:ascii="Arial" w:hAnsi="Arial" w:cs="Arial"/>
          <w:sz w:val="21"/>
          <w:szCs w:val="21"/>
          <w:lang w:val="en-GB" w:eastAsia="en-US"/>
        </w:rPr>
        <w:t>ing</w:t>
      </w:r>
      <w:r w:rsidR="00D03D61">
        <w:rPr>
          <w:rFonts w:ascii="Arial" w:hAnsi="Arial" w:cs="Arial"/>
          <w:sz w:val="21"/>
          <w:szCs w:val="21"/>
          <w:lang w:val="en-GB" w:eastAsia="en-US"/>
        </w:rPr>
        <w:t xml:space="preserve"> a </w:t>
      </w:r>
      <w:r w:rsidR="00BE4CEA">
        <w:rPr>
          <w:rFonts w:ascii="Arial" w:hAnsi="Arial" w:cs="Arial"/>
          <w:sz w:val="21"/>
          <w:szCs w:val="21"/>
          <w:lang w:val="en-GB" w:eastAsia="en-US"/>
        </w:rPr>
        <w:t>negative</w:t>
      </w:r>
      <w:r w:rsidR="00D03D61">
        <w:rPr>
          <w:rFonts w:ascii="Arial" w:hAnsi="Arial" w:cs="Arial"/>
          <w:sz w:val="21"/>
          <w:szCs w:val="21"/>
          <w:lang w:val="en-GB" w:eastAsia="en-US"/>
        </w:rPr>
        <w:t xml:space="preserve"> 0.</w:t>
      </w:r>
      <w:r w:rsidR="00BE4CEA">
        <w:rPr>
          <w:rFonts w:ascii="Arial" w:hAnsi="Arial" w:cs="Arial"/>
          <w:sz w:val="21"/>
          <w:szCs w:val="21"/>
          <w:lang w:val="en-GB" w:eastAsia="en-US"/>
        </w:rPr>
        <w:t>2</w:t>
      </w:r>
      <w:r w:rsidR="00D03D61">
        <w:rPr>
          <w:rFonts w:ascii="Arial" w:hAnsi="Arial" w:cs="Arial"/>
          <w:sz w:val="21"/>
          <w:szCs w:val="21"/>
          <w:lang w:val="en-GB" w:eastAsia="en-US"/>
        </w:rPr>
        <w:t xml:space="preserve"> percent</w:t>
      </w:r>
      <w:r w:rsidR="00BE4CEA">
        <w:rPr>
          <w:rFonts w:ascii="Arial" w:hAnsi="Arial" w:cs="Arial"/>
          <w:sz w:val="21"/>
          <w:szCs w:val="21"/>
          <w:lang w:val="en-GB" w:eastAsia="en-US"/>
        </w:rPr>
        <w:t xml:space="preserve"> to quarterly inflation</w:t>
      </w:r>
      <w:r w:rsidR="00D03D61">
        <w:rPr>
          <w:rFonts w:ascii="Arial" w:hAnsi="Arial" w:cs="Arial"/>
          <w:sz w:val="21"/>
          <w:szCs w:val="21"/>
          <w:lang w:val="en-GB" w:eastAsia="en-US"/>
        </w:rPr>
        <w:t>.</w:t>
      </w:r>
      <w:r w:rsidR="002911A2">
        <w:rPr>
          <w:rFonts w:ascii="Arial" w:hAnsi="Arial" w:cs="Arial"/>
          <w:sz w:val="21"/>
          <w:szCs w:val="21"/>
          <w:lang w:val="en-GB" w:eastAsia="en-US"/>
        </w:rPr>
        <w:t xml:space="preserve"> </w:t>
      </w:r>
    </w:p>
    <w:p w14:paraId="244AC935" w14:textId="73DD4DD4" w:rsidR="00224BE4" w:rsidRDefault="006666C3" w:rsidP="005A4520">
      <w:pPr>
        <w:rPr>
          <w:rFonts w:ascii="Arial" w:hAnsi="Arial" w:cs="Arial"/>
          <w:sz w:val="21"/>
          <w:szCs w:val="21"/>
          <w:lang w:val="en-GB" w:eastAsia="en-US"/>
        </w:rPr>
      </w:pPr>
      <w:r>
        <w:rPr>
          <w:rFonts w:ascii="Arial" w:hAnsi="Arial" w:cs="Arial"/>
          <w:sz w:val="21"/>
          <w:szCs w:val="21"/>
          <w:lang w:val="en-GB" w:eastAsia="en-US"/>
        </w:rPr>
        <w:t>Two other groups showed small changes this quarter: Clothing and footwear (up 1.0 percent) and Miscellaneous goods and services (down 0.1 percent)</w:t>
      </w:r>
      <w:r w:rsidR="004A6F9A">
        <w:rPr>
          <w:rFonts w:ascii="Arial" w:hAnsi="Arial" w:cs="Arial"/>
          <w:sz w:val="21"/>
          <w:szCs w:val="21"/>
          <w:lang w:val="en-GB" w:eastAsia="en-US"/>
        </w:rPr>
        <w:t>; their contribution to CPI was negligible</w:t>
      </w:r>
      <w:r>
        <w:rPr>
          <w:rFonts w:ascii="Arial" w:hAnsi="Arial" w:cs="Arial"/>
          <w:sz w:val="21"/>
          <w:szCs w:val="21"/>
          <w:lang w:val="en-GB" w:eastAsia="en-US"/>
        </w:rPr>
        <w:t>. Furnishing, household equipment and routine household maintenance; and the Communication group remained unchanged.</w:t>
      </w:r>
    </w:p>
    <w:p w14:paraId="6FE31FD0" w14:textId="2FF4219C" w:rsidR="006C377E" w:rsidRPr="00C13C15" w:rsidRDefault="006666C3" w:rsidP="00681F87">
      <w:pPr>
        <w:pStyle w:val="Heading2"/>
        <w:rPr>
          <w:sz w:val="26"/>
          <w:szCs w:val="26"/>
        </w:rPr>
      </w:pPr>
      <w:r>
        <w:rPr>
          <w:sz w:val="21"/>
          <w:szCs w:val="21"/>
        </w:rPr>
        <w:t xml:space="preserve"> </w:t>
      </w:r>
      <w:bookmarkStart w:id="21" w:name="_Impact_of_items"/>
      <w:bookmarkStart w:id="22" w:name="_Impact_of_items_1"/>
      <w:bookmarkEnd w:id="21"/>
      <w:bookmarkEnd w:id="22"/>
      <w:r w:rsidR="006C377E" w:rsidRPr="00C13C15">
        <w:rPr>
          <w:sz w:val="26"/>
          <w:szCs w:val="26"/>
        </w:rPr>
        <w:t>Impact of items that rose and fell in price</w:t>
      </w:r>
    </w:p>
    <w:p w14:paraId="4BFDF39E" w14:textId="0BFFA3B2" w:rsidR="00683C59" w:rsidRDefault="006C377E" w:rsidP="00536263">
      <w:pPr>
        <w:rPr>
          <w:rFonts w:ascii="Arial" w:hAnsi="Arial" w:cs="Arial"/>
          <w:color w:val="000000"/>
          <w:sz w:val="21"/>
          <w:szCs w:val="21"/>
        </w:rPr>
      </w:pPr>
      <w:r w:rsidRPr="00C13C15">
        <w:rPr>
          <w:rFonts w:ascii="Arial" w:hAnsi="Arial" w:cs="Arial"/>
          <w:color w:val="000000"/>
          <w:sz w:val="21"/>
          <w:szCs w:val="21"/>
        </w:rPr>
        <w:t>The graph below shows the impact of items that rose and fell in price</w:t>
      </w:r>
      <w:r w:rsidR="006F2E2B" w:rsidRPr="00C13C15">
        <w:rPr>
          <w:rFonts w:ascii="Arial" w:hAnsi="Arial" w:cs="Arial"/>
          <w:color w:val="000000"/>
          <w:sz w:val="21"/>
          <w:szCs w:val="21"/>
        </w:rPr>
        <w:t xml:space="preserve"> over time</w:t>
      </w:r>
      <w:r w:rsidR="00466287" w:rsidRPr="00C13C15">
        <w:rPr>
          <w:rFonts w:ascii="Arial" w:hAnsi="Arial" w:cs="Arial"/>
          <w:color w:val="000000"/>
          <w:sz w:val="21"/>
          <w:szCs w:val="21"/>
        </w:rPr>
        <w:t>: the</w:t>
      </w:r>
      <w:r w:rsidR="000E6347" w:rsidRPr="00C13C15">
        <w:rPr>
          <w:rFonts w:ascii="Arial" w:hAnsi="Arial" w:cs="Arial"/>
          <w:color w:val="000000"/>
          <w:sz w:val="21"/>
          <w:szCs w:val="21"/>
        </w:rPr>
        <w:t xml:space="preserve"> overall</w:t>
      </w:r>
      <w:r w:rsidR="00466287" w:rsidRPr="00C13C15">
        <w:rPr>
          <w:rFonts w:ascii="Arial" w:hAnsi="Arial" w:cs="Arial"/>
          <w:color w:val="000000"/>
          <w:sz w:val="21"/>
          <w:szCs w:val="21"/>
        </w:rPr>
        <w:t xml:space="preserve"> </w:t>
      </w:r>
      <w:r w:rsidR="009A19CB" w:rsidRPr="00C13C15">
        <w:rPr>
          <w:rFonts w:ascii="Arial" w:hAnsi="Arial" w:cs="Arial"/>
          <w:color w:val="000000"/>
          <w:sz w:val="21"/>
          <w:szCs w:val="21"/>
        </w:rPr>
        <w:t xml:space="preserve">impact </w:t>
      </w:r>
      <w:r w:rsidR="00903A11" w:rsidRPr="00C13C15">
        <w:rPr>
          <w:rFonts w:ascii="Arial" w:hAnsi="Arial" w:cs="Arial"/>
          <w:color w:val="000000"/>
          <w:sz w:val="21"/>
          <w:szCs w:val="21"/>
        </w:rPr>
        <w:t>wa</w:t>
      </w:r>
      <w:r w:rsidR="00466287" w:rsidRPr="00C13C15">
        <w:rPr>
          <w:rFonts w:ascii="Arial" w:hAnsi="Arial" w:cs="Arial"/>
          <w:color w:val="000000"/>
          <w:sz w:val="21"/>
          <w:szCs w:val="21"/>
        </w:rPr>
        <w:t xml:space="preserve">s </w:t>
      </w:r>
      <w:r w:rsidR="00717828" w:rsidRPr="00C13C15">
        <w:rPr>
          <w:rFonts w:ascii="Arial" w:hAnsi="Arial" w:cs="Arial"/>
          <w:color w:val="000000"/>
          <w:sz w:val="21"/>
          <w:szCs w:val="21"/>
        </w:rPr>
        <w:t>a</w:t>
      </w:r>
      <w:r w:rsidR="00D6094B">
        <w:rPr>
          <w:rFonts w:ascii="Arial" w:hAnsi="Arial" w:cs="Arial"/>
          <w:color w:val="000000"/>
          <w:sz w:val="21"/>
          <w:szCs w:val="21"/>
        </w:rPr>
        <w:t xml:space="preserve"> </w:t>
      </w:r>
      <w:r w:rsidR="00224BE4">
        <w:rPr>
          <w:rFonts w:ascii="Arial" w:hAnsi="Arial" w:cs="Arial"/>
          <w:color w:val="000000"/>
          <w:sz w:val="21"/>
          <w:szCs w:val="21"/>
        </w:rPr>
        <w:t>4</w:t>
      </w:r>
      <w:r w:rsidR="003F3D99">
        <w:rPr>
          <w:rFonts w:ascii="Arial" w:hAnsi="Arial" w:cs="Arial"/>
          <w:color w:val="000000"/>
          <w:sz w:val="21"/>
          <w:szCs w:val="21"/>
        </w:rPr>
        <w:t>.</w:t>
      </w:r>
      <w:r w:rsidR="003007CB">
        <w:rPr>
          <w:rFonts w:ascii="Arial" w:hAnsi="Arial" w:cs="Arial"/>
          <w:color w:val="000000"/>
          <w:sz w:val="21"/>
          <w:szCs w:val="21"/>
        </w:rPr>
        <w:t>2</w:t>
      </w:r>
      <w:r w:rsidR="003F3D99">
        <w:rPr>
          <w:rFonts w:ascii="Arial" w:hAnsi="Arial" w:cs="Arial"/>
          <w:color w:val="000000"/>
          <w:sz w:val="21"/>
          <w:szCs w:val="21"/>
        </w:rPr>
        <w:t xml:space="preserve"> </w:t>
      </w:r>
      <w:r w:rsidRPr="00C13C15">
        <w:rPr>
          <w:rFonts w:ascii="Arial" w:hAnsi="Arial" w:cs="Arial"/>
          <w:color w:val="000000"/>
          <w:sz w:val="21"/>
          <w:szCs w:val="21"/>
        </w:rPr>
        <w:t xml:space="preserve">percent </w:t>
      </w:r>
      <w:r w:rsidR="000C0DDD">
        <w:rPr>
          <w:rFonts w:ascii="Arial" w:hAnsi="Arial" w:cs="Arial"/>
          <w:color w:val="000000"/>
          <w:sz w:val="21"/>
          <w:szCs w:val="21"/>
        </w:rPr>
        <w:t>in</w:t>
      </w:r>
      <w:r w:rsidR="003F3D99">
        <w:rPr>
          <w:rFonts w:ascii="Arial" w:hAnsi="Arial" w:cs="Arial"/>
          <w:color w:val="000000"/>
          <w:sz w:val="21"/>
          <w:szCs w:val="21"/>
        </w:rPr>
        <w:t xml:space="preserve">crease </w:t>
      </w:r>
      <w:r w:rsidR="00534324" w:rsidRPr="00C13C15">
        <w:rPr>
          <w:rFonts w:ascii="Arial" w:hAnsi="Arial" w:cs="Arial"/>
          <w:color w:val="000000"/>
          <w:sz w:val="21"/>
          <w:szCs w:val="21"/>
        </w:rPr>
        <w:t xml:space="preserve">in CPI </w:t>
      </w:r>
      <w:r w:rsidRPr="00C13C15">
        <w:rPr>
          <w:rFonts w:ascii="Arial" w:hAnsi="Arial" w:cs="Arial"/>
          <w:color w:val="000000"/>
          <w:sz w:val="21"/>
          <w:szCs w:val="21"/>
        </w:rPr>
        <w:t xml:space="preserve">for the </w:t>
      </w:r>
      <w:r w:rsidR="000C0DDD">
        <w:rPr>
          <w:rFonts w:ascii="Arial" w:hAnsi="Arial" w:cs="Arial"/>
          <w:color w:val="000000"/>
          <w:sz w:val="21"/>
          <w:szCs w:val="21"/>
        </w:rPr>
        <w:t>September</w:t>
      </w:r>
      <w:r w:rsidR="007930CA" w:rsidRPr="00C13C15">
        <w:rPr>
          <w:rFonts w:ascii="Arial" w:hAnsi="Arial" w:cs="Arial"/>
          <w:color w:val="000000"/>
          <w:sz w:val="21"/>
          <w:szCs w:val="21"/>
        </w:rPr>
        <w:t xml:space="preserve"> 2018</w:t>
      </w:r>
      <w:r w:rsidRPr="00C13C15">
        <w:rPr>
          <w:rFonts w:ascii="Arial" w:hAnsi="Arial" w:cs="Arial"/>
          <w:color w:val="000000"/>
          <w:sz w:val="21"/>
          <w:szCs w:val="21"/>
        </w:rPr>
        <w:t xml:space="preserve"> quart</w:t>
      </w:r>
      <w:r w:rsidR="005A1AF8">
        <w:rPr>
          <w:rFonts w:ascii="Arial" w:hAnsi="Arial" w:cs="Arial"/>
          <w:color w:val="000000"/>
          <w:sz w:val="21"/>
          <w:szCs w:val="21"/>
        </w:rPr>
        <w:t>er.</w:t>
      </w:r>
    </w:p>
    <w:p w14:paraId="4A3994FB" w14:textId="6FC362FB" w:rsidR="005A1AF8" w:rsidRDefault="00FF3B8A" w:rsidP="00536263">
      <w:pPr>
        <w:rPr>
          <w:rFonts w:ascii="Arial" w:hAnsi="Arial" w:cs="Arial"/>
          <w:color w:val="000000"/>
          <w:sz w:val="21"/>
          <w:szCs w:val="21"/>
        </w:rPr>
      </w:pPr>
      <w:r>
        <w:rPr>
          <w:rFonts w:ascii="Arial" w:hAnsi="Arial" w:cs="Arial"/>
          <w:noProof/>
          <w:color w:val="000000"/>
          <w:sz w:val="21"/>
          <w:szCs w:val="21"/>
          <w:lang w:val="en-NZ" w:eastAsia="en-NZ"/>
        </w:rPr>
        <w:drawing>
          <wp:inline distT="0" distB="0" distL="0" distR="0" wp14:anchorId="50E2AC74" wp14:editId="35202043">
            <wp:extent cx="6549656" cy="2955852"/>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1225" cy="2956560"/>
                    </a:xfrm>
                    <a:prstGeom prst="rect">
                      <a:avLst/>
                    </a:prstGeom>
                    <a:noFill/>
                  </pic:spPr>
                </pic:pic>
              </a:graphicData>
            </a:graphic>
          </wp:inline>
        </w:drawing>
      </w:r>
    </w:p>
    <w:p w14:paraId="29960750" w14:textId="77777777" w:rsidR="005A1AF8" w:rsidRDefault="005A1AF8">
      <w:pPr>
        <w:spacing w:after="0"/>
        <w:rPr>
          <w:rFonts w:ascii="Arial" w:hAnsi="Arial" w:cs="Arial"/>
          <w:color w:val="000000"/>
          <w:sz w:val="21"/>
          <w:szCs w:val="21"/>
        </w:rPr>
      </w:pPr>
      <w:r>
        <w:rPr>
          <w:rFonts w:ascii="Arial" w:hAnsi="Arial" w:cs="Arial"/>
          <w:color w:val="000000"/>
          <w:sz w:val="21"/>
          <w:szCs w:val="21"/>
        </w:rPr>
        <w:br w:type="page"/>
      </w:r>
    </w:p>
    <w:p w14:paraId="53D2D33F" w14:textId="3955BF3B" w:rsidR="00F05C5C" w:rsidRDefault="006C377E" w:rsidP="00AD1D29">
      <w:pPr>
        <w:rPr>
          <w:rFonts w:ascii="Arial" w:hAnsi="Arial" w:cs="Arial"/>
          <w:color w:val="000000"/>
          <w:sz w:val="21"/>
          <w:szCs w:val="21"/>
        </w:rPr>
      </w:pPr>
      <w:r w:rsidRPr="00C13C15">
        <w:rPr>
          <w:rFonts w:ascii="Arial" w:hAnsi="Arial" w:cs="Arial"/>
          <w:color w:val="000000"/>
          <w:sz w:val="21"/>
          <w:szCs w:val="21"/>
        </w:rPr>
        <w:lastRenderedPageBreak/>
        <w:t>The</w:t>
      </w:r>
      <w:r w:rsidR="0087320F" w:rsidRPr="00C13C15">
        <w:rPr>
          <w:rFonts w:ascii="Arial" w:hAnsi="Arial" w:cs="Arial"/>
          <w:color w:val="000000"/>
          <w:sz w:val="21"/>
          <w:szCs w:val="21"/>
        </w:rPr>
        <w:t xml:space="preserve"> following </w:t>
      </w:r>
      <w:r w:rsidRPr="00C13C15">
        <w:rPr>
          <w:rFonts w:ascii="Arial" w:hAnsi="Arial" w:cs="Arial"/>
          <w:color w:val="000000"/>
          <w:sz w:val="21"/>
          <w:szCs w:val="21"/>
        </w:rPr>
        <w:t>graph shows the impact of items that rose and fell in price by group</w:t>
      </w:r>
      <w:r w:rsidR="009D02BA" w:rsidRPr="00C13C15">
        <w:rPr>
          <w:rFonts w:ascii="Arial" w:hAnsi="Arial" w:cs="Arial"/>
          <w:color w:val="000000"/>
          <w:sz w:val="21"/>
          <w:szCs w:val="21"/>
        </w:rPr>
        <w:t xml:space="preserve"> this quart</w:t>
      </w:r>
      <w:r w:rsidR="00D832A2">
        <w:rPr>
          <w:rFonts w:ascii="Arial" w:hAnsi="Arial" w:cs="Arial"/>
          <w:color w:val="000000"/>
          <w:sz w:val="21"/>
          <w:szCs w:val="21"/>
        </w:rPr>
        <w:t>er:</w:t>
      </w:r>
    </w:p>
    <w:p w14:paraId="18307A92" w14:textId="4DB711BC" w:rsidR="005A1AF8" w:rsidRPr="00C13C15" w:rsidRDefault="00FF3B8A" w:rsidP="00AD1D29">
      <w:pPr>
        <w:rPr>
          <w:rFonts w:ascii="Arial" w:hAnsi="Arial" w:cs="Arial"/>
          <w:color w:val="000000"/>
          <w:sz w:val="22"/>
          <w:szCs w:val="22"/>
        </w:rPr>
      </w:pPr>
      <w:r>
        <w:rPr>
          <w:rFonts w:ascii="Arial" w:hAnsi="Arial" w:cs="Arial"/>
          <w:noProof/>
          <w:color w:val="000000"/>
          <w:sz w:val="22"/>
          <w:szCs w:val="22"/>
          <w:lang w:val="en-NZ" w:eastAsia="en-NZ"/>
        </w:rPr>
        <w:drawing>
          <wp:inline distT="0" distB="0" distL="0" distR="0" wp14:anchorId="3895E433" wp14:editId="22E26F3E">
            <wp:extent cx="6496493" cy="37724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8749" cy="3773805"/>
                    </a:xfrm>
                    <a:prstGeom prst="rect">
                      <a:avLst/>
                    </a:prstGeom>
                    <a:noFill/>
                  </pic:spPr>
                </pic:pic>
              </a:graphicData>
            </a:graphic>
          </wp:inline>
        </w:drawing>
      </w:r>
    </w:p>
    <w:p w14:paraId="0E67E49B" w14:textId="580C8AA1" w:rsidR="0044434D" w:rsidRPr="00C13C15" w:rsidRDefault="0044434D" w:rsidP="00105271">
      <w:pPr>
        <w:pStyle w:val="Heading2"/>
        <w:rPr>
          <w:b w:val="0"/>
          <w:sz w:val="26"/>
          <w:szCs w:val="26"/>
        </w:rPr>
      </w:pPr>
      <w:bookmarkStart w:id="23" w:name="_Effect_of_cigarettes"/>
      <w:bookmarkStart w:id="24" w:name="_CPI_shows_10.2"/>
      <w:bookmarkEnd w:id="23"/>
      <w:bookmarkEnd w:id="24"/>
      <w:r w:rsidRPr="00C13C15">
        <w:rPr>
          <w:sz w:val="26"/>
          <w:szCs w:val="26"/>
        </w:rPr>
        <w:t xml:space="preserve">CPI shows </w:t>
      </w:r>
      <w:r w:rsidR="00D55968">
        <w:rPr>
          <w:sz w:val="26"/>
          <w:szCs w:val="26"/>
        </w:rPr>
        <w:t>4</w:t>
      </w:r>
      <w:r w:rsidR="00A06730">
        <w:rPr>
          <w:sz w:val="26"/>
          <w:szCs w:val="26"/>
        </w:rPr>
        <w:t>.</w:t>
      </w:r>
      <w:r w:rsidR="00D55968">
        <w:rPr>
          <w:sz w:val="26"/>
          <w:szCs w:val="26"/>
        </w:rPr>
        <w:t>8</w:t>
      </w:r>
      <w:r w:rsidR="00A06730">
        <w:rPr>
          <w:sz w:val="26"/>
          <w:szCs w:val="26"/>
        </w:rPr>
        <w:t xml:space="preserve"> </w:t>
      </w:r>
      <w:r w:rsidRPr="00C13C15">
        <w:rPr>
          <w:sz w:val="26"/>
          <w:szCs w:val="26"/>
        </w:rPr>
        <w:t xml:space="preserve">percent </w:t>
      </w:r>
      <w:r w:rsidR="00A06730">
        <w:rPr>
          <w:sz w:val="26"/>
          <w:szCs w:val="26"/>
        </w:rPr>
        <w:t>increase</w:t>
      </w:r>
      <w:r w:rsidRPr="00C13C15">
        <w:rPr>
          <w:sz w:val="26"/>
          <w:szCs w:val="26"/>
        </w:rPr>
        <w:t xml:space="preserve"> for the year to the </w:t>
      </w:r>
      <w:r w:rsidR="000C0DDD">
        <w:rPr>
          <w:sz w:val="26"/>
          <w:szCs w:val="26"/>
        </w:rPr>
        <w:t>September</w:t>
      </w:r>
      <w:r w:rsidR="007930CA" w:rsidRPr="00C13C15">
        <w:rPr>
          <w:sz w:val="26"/>
          <w:szCs w:val="26"/>
        </w:rPr>
        <w:t xml:space="preserve"> 2018 </w:t>
      </w:r>
      <w:r w:rsidRPr="00C13C15">
        <w:rPr>
          <w:sz w:val="26"/>
          <w:szCs w:val="26"/>
        </w:rPr>
        <w:t>quarter</w:t>
      </w:r>
    </w:p>
    <w:p w14:paraId="42B9B5A5" w14:textId="51D3EC5B" w:rsidR="0044434D" w:rsidRPr="00C13C15" w:rsidRDefault="0044434D" w:rsidP="0044434D">
      <w:pPr>
        <w:rPr>
          <w:rFonts w:ascii="Arial" w:hAnsi="Arial" w:cs="Arial"/>
          <w:sz w:val="21"/>
          <w:szCs w:val="21"/>
        </w:rPr>
      </w:pPr>
      <w:r w:rsidRPr="00C13C15">
        <w:rPr>
          <w:rFonts w:ascii="Arial" w:hAnsi="Arial" w:cs="Arial"/>
          <w:sz w:val="21"/>
          <w:szCs w:val="21"/>
        </w:rPr>
        <w:t xml:space="preserve">The CPI </w:t>
      </w:r>
      <w:r w:rsidR="00A06730">
        <w:rPr>
          <w:rFonts w:ascii="Arial" w:hAnsi="Arial" w:cs="Arial"/>
          <w:sz w:val="21"/>
          <w:szCs w:val="21"/>
        </w:rPr>
        <w:t xml:space="preserve">increased </w:t>
      </w:r>
      <w:r w:rsidR="00D55968">
        <w:rPr>
          <w:rFonts w:ascii="Arial" w:hAnsi="Arial" w:cs="Arial"/>
          <w:sz w:val="21"/>
          <w:szCs w:val="21"/>
        </w:rPr>
        <w:t>4</w:t>
      </w:r>
      <w:r w:rsidR="00A06730">
        <w:rPr>
          <w:rFonts w:ascii="Arial" w:hAnsi="Arial" w:cs="Arial"/>
          <w:sz w:val="21"/>
          <w:szCs w:val="21"/>
        </w:rPr>
        <w:t>.</w:t>
      </w:r>
      <w:r w:rsidR="00D55968">
        <w:rPr>
          <w:rFonts w:ascii="Arial" w:hAnsi="Arial" w:cs="Arial"/>
          <w:sz w:val="21"/>
          <w:szCs w:val="21"/>
        </w:rPr>
        <w:t>8</w:t>
      </w:r>
      <w:r w:rsidR="00A06730">
        <w:rPr>
          <w:rFonts w:ascii="Arial" w:hAnsi="Arial" w:cs="Arial"/>
          <w:sz w:val="21"/>
          <w:szCs w:val="21"/>
        </w:rPr>
        <w:t xml:space="preserve"> </w:t>
      </w:r>
      <w:r w:rsidRPr="00C13C15">
        <w:rPr>
          <w:rFonts w:ascii="Arial" w:hAnsi="Arial" w:cs="Arial"/>
          <w:sz w:val="21"/>
          <w:szCs w:val="21"/>
        </w:rPr>
        <w:t xml:space="preserve">percent in the year to the </w:t>
      </w:r>
      <w:r w:rsidR="000C0DDD">
        <w:rPr>
          <w:rFonts w:ascii="Arial" w:hAnsi="Arial" w:cs="Arial"/>
          <w:sz w:val="21"/>
          <w:szCs w:val="21"/>
        </w:rPr>
        <w:t>September</w:t>
      </w:r>
      <w:r w:rsidR="006F2FE7" w:rsidRPr="00C13C15">
        <w:rPr>
          <w:rFonts w:ascii="Arial" w:hAnsi="Arial" w:cs="Arial"/>
          <w:sz w:val="21"/>
          <w:szCs w:val="21"/>
        </w:rPr>
        <w:t xml:space="preserve"> 2018 </w:t>
      </w:r>
      <w:r w:rsidRPr="00C13C15">
        <w:rPr>
          <w:rFonts w:ascii="Arial" w:hAnsi="Arial" w:cs="Arial"/>
          <w:sz w:val="21"/>
          <w:szCs w:val="21"/>
        </w:rPr>
        <w:t xml:space="preserve">quarter. This compares with </w:t>
      </w:r>
      <w:r w:rsidR="008E27AE" w:rsidRPr="00C13C15">
        <w:rPr>
          <w:rFonts w:ascii="Arial" w:hAnsi="Arial" w:cs="Arial"/>
          <w:sz w:val="21"/>
          <w:szCs w:val="21"/>
        </w:rPr>
        <w:t>a</w:t>
      </w:r>
      <w:r w:rsidRPr="00C13C15">
        <w:rPr>
          <w:rFonts w:ascii="Arial" w:hAnsi="Arial" w:cs="Arial"/>
          <w:sz w:val="21"/>
          <w:szCs w:val="21"/>
        </w:rPr>
        <w:t xml:space="preserve"> </w:t>
      </w:r>
      <w:r w:rsidR="000C0DDD">
        <w:rPr>
          <w:rFonts w:ascii="Arial" w:hAnsi="Arial" w:cs="Arial"/>
          <w:sz w:val="21"/>
          <w:szCs w:val="21"/>
        </w:rPr>
        <w:t>6</w:t>
      </w:r>
      <w:r w:rsidR="00A06730">
        <w:rPr>
          <w:rFonts w:ascii="Arial" w:hAnsi="Arial" w:cs="Arial"/>
          <w:sz w:val="21"/>
          <w:szCs w:val="21"/>
        </w:rPr>
        <w:t>.</w:t>
      </w:r>
      <w:r w:rsidR="000C0DDD">
        <w:rPr>
          <w:rFonts w:ascii="Arial" w:hAnsi="Arial" w:cs="Arial"/>
          <w:sz w:val="21"/>
          <w:szCs w:val="21"/>
        </w:rPr>
        <w:t>6</w:t>
      </w:r>
      <w:r w:rsidR="00A87628" w:rsidRPr="00C13C15">
        <w:rPr>
          <w:rFonts w:ascii="Arial" w:hAnsi="Arial" w:cs="Arial"/>
          <w:sz w:val="21"/>
          <w:szCs w:val="21"/>
        </w:rPr>
        <w:t xml:space="preserve"> </w:t>
      </w:r>
      <w:r w:rsidR="00CE56B5" w:rsidRPr="00C13C15">
        <w:rPr>
          <w:rFonts w:ascii="Arial" w:hAnsi="Arial" w:cs="Arial"/>
          <w:sz w:val="21"/>
          <w:szCs w:val="21"/>
        </w:rPr>
        <w:t xml:space="preserve">percent </w:t>
      </w:r>
      <w:r w:rsidR="004B0AF6" w:rsidRPr="00C13C15">
        <w:rPr>
          <w:rFonts w:ascii="Arial" w:hAnsi="Arial" w:cs="Arial"/>
          <w:sz w:val="21"/>
          <w:szCs w:val="21"/>
        </w:rPr>
        <w:t>annual inflation rate</w:t>
      </w:r>
      <w:r w:rsidRPr="00C13C15">
        <w:rPr>
          <w:rFonts w:ascii="Arial" w:hAnsi="Arial" w:cs="Arial"/>
          <w:sz w:val="21"/>
          <w:szCs w:val="21"/>
        </w:rPr>
        <w:t xml:space="preserve"> in the </w:t>
      </w:r>
      <w:r w:rsidR="000C0DDD">
        <w:rPr>
          <w:rFonts w:ascii="Arial" w:hAnsi="Arial" w:cs="Arial"/>
          <w:sz w:val="21"/>
          <w:szCs w:val="21"/>
        </w:rPr>
        <w:t>June</w:t>
      </w:r>
      <w:r w:rsidR="006F2FE7" w:rsidRPr="00C13C15">
        <w:rPr>
          <w:rFonts w:ascii="Arial" w:hAnsi="Arial" w:cs="Arial"/>
          <w:sz w:val="21"/>
          <w:szCs w:val="21"/>
        </w:rPr>
        <w:t xml:space="preserve"> </w:t>
      </w:r>
      <w:r w:rsidRPr="00C13C15">
        <w:rPr>
          <w:rFonts w:ascii="Arial" w:hAnsi="Arial" w:cs="Arial"/>
          <w:sz w:val="21"/>
          <w:szCs w:val="21"/>
        </w:rPr>
        <w:t>201</w:t>
      </w:r>
      <w:r w:rsidR="00A06730">
        <w:rPr>
          <w:rFonts w:ascii="Arial" w:hAnsi="Arial" w:cs="Arial"/>
          <w:sz w:val="21"/>
          <w:szCs w:val="21"/>
        </w:rPr>
        <w:t>8</w:t>
      </w:r>
      <w:r w:rsidRPr="00C13C15">
        <w:rPr>
          <w:rFonts w:ascii="Arial" w:hAnsi="Arial" w:cs="Arial"/>
          <w:sz w:val="21"/>
          <w:szCs w:val="21"/>
        </w:rPr>
        <w:t xml:space="preserve"> quarter. </w:t>
      </w:r>
    </w:p>
    <w:p w14:paraId="1CDD97DF" w14:textId="177CB16C" w:rsidR="002E7AF0" w:rsidRDefault="00896819" w:rsidP="007228DC">
      <w:pPr>
        <w:spacing w:after="0"/>
        <w:rPr>
          <w:rFonts w:ascii="Arial" w:hAnsi="Arial" w:cs="Arial"/>
          <w:sz w:val="21"/>
          <w:szCs w:val="21"/>
        </w:rPr>
      </w:pPr>
      <w:r w:rsidRPr="00C13C15">
        <w:rPr>
          <w:rFonts w:ascii="Arial" w:hAnsi="Arial" w:cs="Arial"/>
          <w:sz w:val="21"/>
          <w:szCs w:val="21"/>
        </w:rPr>
        <w:t>The main</w:t>
      </w:r>
      <w:r w:rsidR="00A06730">
        <w:rPr>
          <w:rFonts w:ascii="Arial" w:hAnsi="Arial" w:cs="Arial"/>
          <w:sz w:val="21"/>
          <w:szCs w:val="21"/>
        </w:rPr>
        <w:t xml:space="preserve"> upward</w:t>
      </w:r>
      <w:r w:rsidRPr="00C13C15">
        <w:rPr>
          <w:rFonts w:ascii="Arial" w:hAnsi="Arial" w:cs="Arial"/>
          <w:sz w:val="21"/>
          <w:szCs w:val="21"/>
        </w:rPr>
        <w:t xml:space="preserve"> movement came from the group</w:t>
      </w:r>
      <w:r w:rsidR="00A06730">
        <w:rPr>
          <w:rFonts w:ascii="Arial" w:hAnsi="Arial" w:cs="Arial"/>
          <w:sz w:val="21"/>
          <w:szCs w:val="21"/>
        </w:rPr>
        <w:t xml:space="preserve"> </w:t>
      </w:r>
      <w:r w:rsidR="00607CB4">
        <w:rPr>
          <w:rFonts w:ascii="Arial" w:hAnsi="Arial" w:cs="Arial"/>
          <w:sz w:val="21"/>
          <w:szCs w:val="21"/>
        </w:rPr>
        <w:t>Alcoholic beverages and tobacco</w:t>
      </w:r>
      <w:r w:rsidR="000C0DDD">
        <w:rPr>
          <w:rFonts w:ascii="Arial" w:hAnsi="Arial" w:cs="Arial"/>
          <w:sz w:val="21"/>
          <w:szCs w:val="21"/>
        </w:rPr>
        <w:t>,</w:t>
      </w:r>
      <w:r w:rsidRPr="00C13C15">
        <w:rPr>
          <w:rFonts w:ascii="Arial" w:hAnsi="Arial" w:cs="Arial"/>
          <w:sz w:val="21"/>
          <w:szCs w:val="21"/>
        </w:rPr>
        <w:t xml:space="preserve"> </w:t>
      </w:r>
      <w:r w:rsidR="00DE1CD2">
        <w:rPr>
          <w:rFonts w:ascii="Arial" w:hAnsi="Arial" w:cs="Arial"/>
          <w:sz w:val="21"/>
          <w:szCs w:val="21"/>
        </w:rPr>
        <w:t xml:space="preserve">up </w:t>
      </w:r>
      <w:r w:rsidR="00DE1CD2" w:rsidRPr="00607CB4">
        <w:rPr>
          <w:rFonts w:ascii="Arial" w:hAnsi="Arial" w:cs="Arial"/>
          <w:sz w:val="21"/>
          <w:szCs w:val="21"/>
        </w:rPr>
        <w:t>20</w:t>
      </w:r>
      <w:r w:rsidR="00DE1CD2">
        <w:rPr>
          <w:rFonts w:ascii="Arial" w:hAnsi="Arial" w:cs="Arial"/>
          <w:sz w:val="21"/>
          <w:szCs w:val="21"/>
        </w:rPr>
        <w:t xml:space="preserve"> </w:t>
      </w:r>
      <w:r w:rsidR="007228DC" w:rsidRPr="00C13C15">
        <w:rPr>
          <w:rFonts w:ascii="Arial" w:hAnsi="Arial" w:cs="Arial"/>
          <w:sz w:val="21"/>
          <w:szCs w:val="21"/>
        </w:rPr>
        <w:t>percent</w:t>
      </w:r>
      <w:r w:rsidR="00F4095D">
        <w:rPr>
          <w:rFonts w:ascii="Arial" w:hAnsi="Arial" w:cs="Arial"/>
          <w:sz w:val="21"/>
          <w:szCs w:val="21"/>
        </w:rPr>
        <w:t>, due mainly to the national tobacco pricing policy in 2017 (contributing 5.</w:t>
      </w:r>
      <w:r w:rsidR="00221BAB">
        <w:rPr>
          <w:rFonts w:ascii="Arial" w:hAnsi="Arial" w:cs="Arial"/>
          <w:sz w:val="21"/>
          <w:szCs w:val="21"/>
        </w:rPr>
        <w:t>7</w:t>
      </w:r>
      <w:r w:rsidR="00F4095D">
        <w:rPr>
          <w:rFonts w:ascii="Arial" w:hAnsi="Arial" w:cs="Arial"/>
          <w:sz w:val="21"/>
          <w:szCs w:val="21"/>
        </w:rPr>
        <w:t xml:space="preserve"> percent to annual CPI). Prices in t</w:t>
      </w:r>
      <w:r w:rsidR="002A04AE">
        <w:rPr>
          <w:rFonts w:ascii="Arial" w:hAnsi="Arial" w:cs="Arial"/>
          <w:sz w:val="21"/>
          <w:szCs w:val="21"/>
        </w:rPr>
        <w:t>he group</w:t>
      </w:r>
      <w:r w:rsidR="007707CD">
        <w:rPr>
          <w:rFonts w:ascii="Arial" w:hAnsi="Arial" w:cs="Arial"/>
          <w:sz w:val="21"/>
          <w:szCs w:val="21"/>
        </w:rPr>
        <w:t xml:space="preserve"> </w:t>
      </w:r>
      <w:r w:rsidR="00607CB4">
        <w:rPr>
          <w:rFonts w:ascii="Arial" w:hAnsi="Arial" w:cs="Arial"/>
          <w:sz w:val="21"/>
          <w:szCs w:val="21"/>
        </w:rPr>
        <w:t>Furnishings, household equipment, routine household maintenance</w:t>
      </w:r>
      <w:r w:rsidR="002A04AE">
        <w:rPr>
          <w:rFonts w:ascii="Arial" w:hAnsi="Arial" w:cs="Arial"/>
          <w:sz w:val="21"/>
          <w:szCs w:val="21"/>
        </w:rPr>
        <w:t xml:space="preserve"> rose </w:t>
      </w:r>
      <w:r w:rsidR="002A04AE" w:rsidRPr="00607CB4">
        <w:rPr>
          <w:rFonts w:ascii="Arial" w:hAnsi="Arial" w:cs="Arial"/>
          <w:sz w:val="21"/>
          <w:szCs w:val="21"/>
        </w:rPr>
        <w:t>2</w:t>
      </w:r>
      <w:r w:rsidR="00607CB4" w:rsidRPr="00170FDC">
        <w:rPr>
          <w:rFonts w:ascii="Arial" w:hAnsi="Arial" w:cs="Arial"/>
          <w:sz w:val="21"/>
          <w:szCs w:val="21"/>
        </w:rPr>
        <w:t>.6</w:t>
      </w:r>
      <w:r w:rsidR="002A04AE">
        <w:rPr>
          <w:rFonts w:ascii="Arial" w:hAnsi="Arial" w:cs="Arial"/>
          <w:sz w:val="21"/>
          <w:szCs w:val="21"/>
        </w:rPr>
        <w:t xml:space="preserve"> percent, </w:t>
      </w:r>
      <w:r w:rsidR="00F4095D">
        <w:rPr>
          <w:rFonts w:ascii="Arial" w:hAnsi="Arial" w:cs="Arial"/>
          <w:sz w:val="21"/>
          <w:szCs w:val="21"/>
        </w:rPr>
        <w:t>contributing 0.2 percent to annual CPI.</w:t>
      </w:r>
      <w:r w:rsidRPr="00C13C15">
        <w:rPr>
          <w:rFonts w:ascii="Arial" w:hAnsi="Arial" w:cs="Arial"/>
          <w:sz w:val="21"/>
          <w:szCs w:val="21"/>
        </w:rPr>
        <w:t xml:space="preserve"> </w:t>
      </w:r>
      <w:r w:rsidR="007707CD">
        <w:rPr>
          <w:rFonts w:ascii="Arial" w:hAnsi="Arial" w:cs="Arial"/>
          <w:sz w:val="21"/>
          <w:szCs w:val="21"/>
        </w:rPr>
        <w:t xml:space="preserve">Prices in the group Food and non-alcoholic beverages rose </w:t>
      </w:r>
      <w:r w:rsidR="00F4095D" w:rsidRPr="00170FDC">
        <w:rPr>
          <w:rFonts w:ascii="Arial" w:hAnsi="Arial" w:cs="Arial"/>
          <w:sz w:val="21"/>
          <w:szCs w:val="21"/>
        </w:rPr>
        <w:t>1</w:t>
      </w:r>
      <w:r w:rsidR="007707CD" w:rsidRPr="00F4095D">
        <w:rPr>
          <w:rFonts w:ascii="Arial" w:hAnsi="Arial" w:cs="Arial"/>
          <w:sz w:val="21"/>
          <w:szCs w:val="21"/>
        </w:rPr>
        <w:t>.</w:t>
      </w:r>
      <w:r w:rsidR="00D55968">
        <w:rPr>
          <w:rFonts w:ascii="Arial" w:hAnsi="Arial" w:cs="Arial"/>
          <w:sz w:val="21"/>
          <w:szCs w:val="21"/>
        </w:rPr>
        <w:t>4</w:t>
      </w:r>
      <w:r w:rsidR="007707CD">
        <w:rPr>
          <w:rFonts w:ascii="Arial" w:hAnsi="Arial" w:cs="Arial"/>
          <w:sz w:val="21"/>
          <w:szCs w:val="21"/>
        </w:rPr>
        <w:t xml:space="preserve"> percent, contributing </w:t>
      </w:r>
      <w:r w:rsidR="00F4095D" w:rsidRPr="00170FDC">
        <w:rPr>
          <w:rFonts w:ascii="Arial" w:hAnsi="Arial" w:cs="Arial"/>
          <w:sz w:val="21"/>
          <w:szCs w:val="21"/>
        </w:rPr>
        <w:t>0</w:t>
      </w:r>
      <w:r w:rsidR="007707CD" w:rsidRPr="00F4095D">
        <w:rPr>
          <w:rFonts w:ascii="Arial" w:hAnsi="Arial" w:cs="Arial"/>
          <w:sz w:val="21"/>
          <w:szCs w:val="21"/>
        </w:rPr>
        <w:t>.</w:t>
      </w:r>
      <w:r w:rsidR="004052E3">
        <w:rPr>
          <w:rFonts w:ascii="Arial" w:hAnsi="Arial" w:cs="Arial"/>
          <w:sz w:val="21"/>
          <w:szCs w:val="21"/>
        </w:rPr>
        <w:t>5</w:t>
      </w:r>
      <w:r w:rsidR="007707CD">
        <w:rPr>
          <w:rFonts w:ascii="Arial" w:hAnsi="Arial" w:cs="Arial"/>
          <w:sz w:val="21"/>
          <w:szCs w:val="21"/>
        </w:rPr>
        <w:t xml:space="preserve"> percent to annual CPI.</w:t>
      </w:r>
    </w:p>
    <w:p w14:paraId="6E78CE70" w14:textId="77777777" w:rsidR="00103278" w:rsidRDefault="00103278" w:rsidP="007228DC">
      <w:pPr>
        <w:spacing w:after="0"/>
        <w:rPr>
          <w:rFonts w:ascii="Arial" w:hAnsi="Arial" w:cs="Arial"/>
          <w:sz w:val="21"/>
          <w:szCs w:val="21"/>
        </w:rPr>
      </w:pPr>
    </w:p>
    <w:p w14:paraId="12D645D1" w14:textId="77777777" w:rsidR="00103278" w:rsidRDefault="00103278" w:rsidP="00103278">
      <w:pPr>
        <w:widowControl w:val="0"/>
        <w:autoSpaceDE w:val="0"/>
        <w:autoSpaceDN w:val="0"/>
        <w:adjustRightInd w:val="0"/>
        <w:spacing w:after="240"/>
        <w:rPr>
          <w:rFonts w:ascii="Arial" w:hAnsi="Arial" w:cs="Arial"/>
          <w:sz w:val="21"/>
          <w:szCs w:val="21"/>
        </w:rPr>
      </w:pPr>
      <w:r w:rsidRPr="00C13C15">
        <w:rPr>
          <w:rFonts w:ascii="Arial" w:hAnsi="Arial" w:cs="Arial"/>
          <w:sz w:val="21"/>
          <w:szCs w:val="21"/>
        </w:rPr>
        <w:t>Key individual upward contributions to the Food subgroup came from higher prices for:</w:t>
      </w:r>
    </w:p>
    <w:p w14:paraId="019BFDEF" w14:textId="31672336" w:rsidR="00DE1CD2" w:rsidRDefault="00A02B6C" w:rsidP="005A4520">
      <w:pPr>
        <w:pStyle w:val="ListParagraph"/>
        <w:widowControl w:val="0"/>
        <w:numPr>
          <w:ilvl w:val="0"/>
          <w:numId w:val="38"/>
        </w:numPr>
        <w:autoSpaceDE w:val="0"/>
        <w:autoSpaceDN w:val="0"/>
        <w:adjustRightInd w:val="0"/>
        <w:spacing w:after="240"/>
        <w:rPr>
          <w:rFonts w:ascii="Arial" w:hAnsi="Arial" w:cs="Arial"/>
          <w:sz w:val="21"/>
          <w:szCs w:val="21"/>
        </w:rPr>
      </w:pPr>
      <w:r>
        <w:rPr>
          <w:rFonts w:ascii="Arial" w:hAnsi="Arial" w:cs="Arial"/>
          <w:sz w:val="21"/>
          <w:szCs w:val="21"/>
        </w:rPr>
        <w:t xml:space="preserve">Rice </w:t>
      </w:r>
      <w:r w:rsidR="00926877">
        <w:rPr>
          <w:rFonts w:ascii="Arial" w:hAnsi="Arial" w:cs="Arial"/>
          <w:sz w:val="21"/>
          <w:szCs w:val="21"/>
        </w:rPr>
        <w:t xml:space="preserve">(up </w:t>
      </w:r>
      <w:r>
        <w:rPr>
          <w:rFonts w:ascii="Arial" w:hAnsi="Arial" w:cs="Arial"/>
          <w:sz w:val="21"/>
          <w:szCs w:val="21"/>
        </w:rPr>
        <w:t>31</w:t>
      </w:r>
      <w:r w:rsidR="00926877">
        <w:rPr>
          <w:rFonts w:ascii="Arial" w:hAnsi="Arial" w:cs="Arial"/>
          <w:sz w:val="21"/>
          <w:szCs w:val="21"/>
        </w:rPr>
        <w:t xml:space="preserve"> percent)</w:t>
      </w:r>
    </w:p>
    <w:p w14:paraId="011D6F90" w14:textId="3C7FFE5C" w:rsidR="00926877" w:rsidRPr="00F4095D" w:rsidRDefault="00A02B6C" w:rsidP="005A4520">
      <w:pPr>
        <w:pStyle w:val="ListParagraph"/>
        <w:widowControl w:val="0"/>
        <w:numPr>
          <w:ilvl w:val="0"/>
          <w:numId w:val="38"/>
        </w:numPr>
        <w:autoSpaceDE w:val="0"/>
        <w:autoSpaceDN w:val="0"/>
        <w:adjustRightInd w:val="0"/>
        <w:spacing w:after="240"/>
        <w:rPr>
          <w:rFonts w:ascii="Arial" w:hAnsi="Arial" w:cs="Arial"/>
          <w:sz w:val="21"/>
          <w:szCs w:val="21"/>
        </w:rPr>
      </w:pPr>
      <w:r>
        <w:rPr>
          <w:rFonts w:ascii="Arial" w:hAnsi="Arial" w:cs="Arial"/>
          <w:sz w:val="21"/>
          <w:szCs w:val="21"/>
        </w:rPr>
        <w:t>Chicken</w:t>
      </w:r>
      <w:r w:rsidR="00926877" w:rsidRPr="00F4095D">
        <w:rPr>
          <w:rFonts w:ascii="Arial" w:hAnsi="Arial" w:cs="Arial"/>
          <w:sz w:val="21"/>
          <w:szCs w:val="21"/>
        </w:rPr>
        <w:t xml:space="preserve"> (up </w:t>
      </w:r>
      <w:r>
        <w:rPr>
          <w:rFonts w:ascii="Arial" w:hAnsi="Arial" w:cs="Arial"/>
          <w:sz w:val="21"/>
          <w:szCs w:val="21"/>
        </w:rPr>
        <w:t>7</w:t>
      </w:r>
      <w:r w:rsidR="00926877" w:rsidRPr="00F4095D">
        <w:rPr>
          <w:rFonts w:ascii="Arial" w:hAnsi="Arial" w:cs="Arial"/>
          <w:sz w:val="21"/>
          <w:szCs w:val="21"/>
        </w:rPr>
        <w:t xml:space="preserve"> percent)</w:t>
      </w:r>
    </w:p>
    <w:p w14:paraId="614DA713" w14:textId="771DADD1" w:rsidR="00926877" w:rsidRPr="005A4520" w:rsidRDefault="00A02B6C" w:rsidP="005A4520">
      <w:pPr>
        <w:pStyle w:val="ListParagraph"/>
        <w:widowControl w:val="0"/>
        <w:numPr>
          <w:ilvl w:val="0"/>
          <w:numId w:val="38"/>
        </w:numPr>
        <w:autoSpaceDE w:val="0"/>
        <w:autoSpaceDN w:val="0"/>
        <w:adjustRightInd w:val="0"/>
        <w:spacing w:after="240"/>
        <w:rPr>
          <w:rFonts w:ascii="Arial" w:hAnsi="Arial" w:cs="Arial"/>
          <w:sz w:val="21"/>
          <w:szCs w:val="21"/>
        </w:rPr>
      </w:pPr>
      <w:proofErr w:type="spellStart"/>
      <w:r>
        <w:rPr>
          <w:rFonts w:ascii="Arial" w:hAnsi="Arial" w:cs="Arial"/>
          <w:sz w:val="21"/>
          <w:szCs w:val="21"/>
        </w:rPr>
        <w:t>Longlife</w:t>
      </w:r>
      <w:proofErr w:type="spellEnd"/>
      <w:r>
        <w:rPr>
          <w:rFonts w:ascii="Arial" w:hAnsi="Arial" w:cs="Arial"/>
          <w:sz w:val="21"/>
          <w:szCs w:val="21"/>
        </w:rPr>
        <w:t xml:space="preserve"> milk</w:t>
      </w:r>
      <w:r w:rsidR="00926877" w:rsidRPr="004A17C7">
        <w:rPr>
          <w:rFonts w:ascii="Arial" w:hAnsi="Arial" w:cs="Arial"/>
          <w:sz w:val="21"/>
          <w:szCs w:val="21"/>
        </w:rPr>
        <w:t xml:space="preserve"> (up </w:t>
      </w:r>
      <w:r w:rsidR="004A17C7">
        <w:rPr>
          <w:rFonts w:ascii="Arial" w:hAnsi="Arial" w:cs="Arial"/>
          <w:sz w:val="21"/>
          <w:szCs w:val="21"/>
        </w:rPr>
        <w:t>1</w:t>
      </w:r>
      <w:r>
        <w:rPr>
          <w:rFonts w:ascii="Arial" w:hAnsi="Arial" w:cs="Arial"/>
          <w:sz w:val="21"/>
          <w:szCs w:val="21"/>
        </w:rPr>
        <w:t>2</w:t>
      </w:r>
      <w:r w:rsidR="00926877" w:rsidRPr="004A17C7">
        <w:rPr>
          <w:rFonts w:ascii="Arial" w:hAnsi="Arial" w:cs="Arial"/>
          <w:sz w:val="21"/>
          <w:szCs w:val="21"/>
        </w:rPr>
        <w:t xml:space="preserve"> percent</w:t>
      </w:r>
      <w:r w:rsidR="00926877">
        <w:rPr>
          <w:rFonts w:ascii="Arial" w:hAnsi="Arial" w:cs="Arial"/>
          <w:sz w:val="21"/>
          <w:szCs w:val="21"/>
        </w:rPr>
        <w:t>)</w:t>
      </w:r>
      <w:r w:rsidR="00D6094B">
        <w:rPr>
          <w:rFonts w:ascii="Arial" w:hAnsi="Arial" w:cs="Arial"/>
          <w:sz w:val="21"/>
          <w:szCs w:val="21"/>
        </w:rPr>
        <w:t>.</w:t>
      </w:r>
    </w:p>
    <w:p w14:paraId="7DF981B1" w14:textId="77777777" w:rsidR="004A19B0" w:rsidRDefault="004A19B0" w:rsidP="004A19B0">
      <w:pPr>
        <w:rPr>
          <w:rFonts w:ascii="Arial" w:hAnsi="Arial" w:cs="Arial"/>
          <w:sz w:val="21"/>
          <w:szCs w:val="21"/>
        </w:rPr>
      </w:pPr>
      <w:r w:rsidRPr="00C13C15">
        <w:rPr>
          <w:rFonts w:ascii="Arial" w:hAnsi="Arial" w:cs="Arial"/>
          <w:sz w:val="21"/>
          <w:szCs w:val="21"/>
        </w:rPr>
        <w:t>The main individual downward contributions to the Food subgroup came from lower prices for:</w:t>
      </w:r>
    </w:p>
    <w:p w14:paraId="35457C10" w14:textId="0E92E580" w:rsidR="00A02B6C" w:rsidRDefault="00926877" w:rsidP="005A4520">
      <w:pPr>
        <w:pStyle w:val="ListParagraph"/>
        <w:numPr>
          <w:ilvl w:val="0"/>
          <w:numId w:val="39"/>
        </w:numPr>
        <w:rPr>
          <w:rFonts w:ascii="Arial" w:hAnsi="Arial" w:cs="Arial"/>
          <w:color w:val="000000"/>
          <w:sz w:val="21"/>
          <w:szCs w:val="21"/>
        </w:rPr>
      </w:pPr>
      <w:r>
        <w:rPr>
          <w:rFonts w:ascii="Arial" w:hAnsi="Arial" w:cs="Arial"/>
          <w:color w:val="000000"/>
          <w:sz w:val="21"/>
          <w:szCs w:val="21"/>
        </w:rPr>
        <w:t>Canned tuna (</w:t>
      </w:r>
      <w:r w:rsidRPr="004A17C7">
        <w:rPr>
          <w:rFonts w:ascii="Arial" w:hAnsi="Arial" w:cs="Arial"/>
          <w:color w:val="000000"/>
          <w:sz w:val="21"/>
          <w:szCs w:val="21"/>
        </w:rPr>
        <w:t xml:space="preserve">down </w:t>
      </w:r>
      <w:r w:rsidR="002A04AE" w:rsidRPr="004A17C7">
        <w:rPr>
          <w:rFonts w:ascii="Arial" w:hAnsi="Arial" w:cs="Arial"/>
          <w:color w:val="000000"/>
          <w:sz w:val="21"/>
          <w:szCs w:val="21"/>
        </w:rPr>
        <w:t>27</w:t>
      </w:r>
      <w:r w:rsidRPr="004A17C7">
        <w:rPr>
          <w:rFonts w:ascii="Arial" w:hAnsi="Arial" w:cs="Arial"/>
          <w:color w:val="000000"/>
          <w:sz w:val="21"/>
          <w:szCs w:val="21"/>
        </w:rPr>
        <w:t xml:space="preserve"> percent</w:t>
      </w:r>
      <w:r>
        <w:rPr>
          <w:rFonts w:ascii="Arial" w:hAnsi="Arial" w:cs="Arial"/>
          <w:color w:val="000000"/>
          <w:sz w:val="21"/>
          <w:szCs w:val="21"/>
        </w:rPr>
        <w:t>)</w:t>
      </w:r>
    </w:p>
    <w:p w14:paraId="697BE4EE" w14:textId="715F2420" w:rsidR="00A02B6C" w:rsidRDefault="00A02B6C" w:rsidP="005A4520">
      <w:pPr>
        <w:pStyle w:val="ListParagraph"/>
        <w:numPr>
          <w:ilvl w:val="0"/>
          <w:numId w:val="39"/>
        </w:numPr>
        <w:rPr>
          <w:rFonts w:ascii="Arial" w:hAnsi="Arial" w:cs="Arial"/>
          <w:color w:val="000000"/>
          <w:sz w:val="21"/>
          <w:szCs w:val="21"/>
        </w:rPr>
      </w:pPr>
      <w:r>
        <w:rPr>
          <w:rFonts w:ascii="Arial" w:hAnsi="Arial" w:cs="Arial"/>
          <w:color w:val="000000"/>
          <w:sz w:val="21"/>
          <w:szCs w:val="21"/>
        </w:rPr>
        <w:t>Flour (down 22 percent)</w:t>
      </w:r>
    </w:p>
    <w:p w14:paraId="7E8106BF" w14:textId="07C411AA" w:rsidR="00926877" w:rsidRDefault="00A02B6C" w:rsidP="005A4520">
      <w:pPr>
        <w:pStyle w:val="ListParagraph"/>
        <w:numPr>
          <w:ilvl w:val="0"/>
          <w:numId w:val="39"/>
        </w:numPr>
        <w:rPr>
          <w:rFonts w:ascii="Arial" w:hAnsi="Arial" w:cs="Arial"/>
          <w:color w:val="000000"/>
          <w:sz w:val="21"/>
          <w:szCs w:val="21"/>
        </w:rPr>
      </w:pPr>
      <w:r>
        <w:rPr>
          <w:rFonts w:ascii="Arial" w:hAnsi="Arial" w:cs="Arial"/>
          <w:color w:val="000000"/>
          <w:sz w:val="21"/>
          <w:szCs w:val="21"/>
        </w:rPr>
        <w:t>Lamb chops (down 12 percent)</w:t>
      </w:r>
      <w:r w:rsidR="00262427">
        <w:rPr>
          <w:rFonts w:ascii="Arial" w:hAnsi="Arial" w:cs="Arial"/>
          <w:color w:val="000000"/>
          <w:sz w:val="21"/>
          <w:szCs w:val="21"/>
        </w:rPr>
        <w:t>.</w:t>
      </w:r>
    </w:p>
    <w:p w14:paraId="30763E68" w14:textId="25AF34CF" w:rsidR="007C22FA" w:rsidRPr="007C22FA" w:rsidRDefault="00D6094B" w:rsidP="007228DC">
      <w:pPr>
        <w:spacing w:after="0"/>
        <w:rPr>
          <w:rFonts w:ascii="Arial" w:hAnsi="Arial" w:cs="Arial"/>
          <w:sz w:val="21"/>
          <w:szCs w:val="21"/>
        </w:rPr>
      </w:pPr>
      <w:r>
        <w:rPr>
          <w:rFonts w:ascii="Arial" w:hAnsi="Arial" w:cs="Arial"/>
          <w:sz w:val="21"/>
          <w:szCs w:val="21"/>
        </w:rPr>
        <w:t>Prices in t</w:t>
      </w:r>
      <w:r w:rsidR="007C22FA">
        <w:rPr>
          <w:rFonts w:ascii="Arial" w:hAnsi="Arial" w:cs="Arial"/>
          <w:sz w:val="21"/>
          <w:szCs w:val="21"/>
        </w:rPr>
        <w:t xml:space="preserve">he </w:t>
      </w:r>
      <w:r>
        <w:rPr>
          <w:rFonts w:ascii="Arial" w:hAnsi="Arial" w:cs="Arial"/>
          <w:sz w:val="21"/>
          <w:szCs w:val="21"/>
        </w:rPr>
        <w:t>T</w:t>
      </w:r>
      <w:r w:rsidR="007C22FA">
        <w:rPr>
          <w:rFonts w:ascii="Arial" w:hAnsi="Arial" w:cs="Arial"/>
          <w:sz w:val="21"/>
          <w:szCs w:val="21"/>
        </w:rPr>
        <w:t xml:space="preserve">ransport group </w:t>
      </w:r>
      <w:r w:rsidR="002A04AE">
        <w:rPr>
          <w:rFonts w:ascii="Arial" w:hAnsi="Arial" w:cs="Arial"/>
          <w:sz w:val="21"/>
          <w:szCs w:val="21"/>
        </w:rPr>
        <w:t>fell</w:t>
      </w:r>
      <w:r w:rsidR="007C22FA">
        <w:rPr>
          <w:rFonts w:ascii="Arial" w:hAnsi="Arial" w:cs="Arial"/>
          <w:sz w:val="21"/>
          <w:szCs w:val="21"/>
        </w:rPr>
        <w:t xml:space="preserve"> </w:t>
      </w:r>
      <w:r w:rsidR="002A04AE" w:rsidRPr="004A17C7">
        <w:rPr>
          <w:rFonts w:ascii="Arial" w:hAnsi="Arial" w:cs="Arial"/>
          <w:sz w:val="21"/>
          <w:szCs w:val="21"/>
        </w:rPr>
        <w:t>1</w:t>
      </w:r>
      <w:r w:rsidR="00D2406E">
        <w:rPr>
          <w:rFonts w:ascii="Arial" w:hAnsi="Arial" w:cs="Arial"/>
          <w:sz w:val="21"/>
          <w:szCs w:val="21"/>
        </w:rPr>
        <w:t>2.6</w:t>
      </w:r>
      <w:r w:rsidR="007C22FA">
        <w:rPr>
          <w:rFonts w:ascii="Arial" w:hAnsi="Arial" w:cs="Arial"/>
          <w:sz w:val="21"/>
          <w:szCs w:val="21"/>
        </w:rPr>
        <w:t xml:space="preserve"> percent, contributing a </w:t>
      </w:r>
      <w:r w:rsidR="002A04AE">
        <w:rPr>
          <w:rFonts w:ascii="Arial" w:hAnsi="Arial" w:cs="Arial"/>
          <w:sz w:val="21"/>
          <w:szCs w:val="21"/>
        </w:rPr>
        <w:t>nega</w:t>
      </w:r>
      <w:r w:rsidR="007C22FA">
        <w:rPr>
          <w:rFonts w:ascii="Arial" w:hAnsi="Arial" w:cs="Arial"/>
          <w:sz w:val="21"/>
          <w:szCs w:val="21"/>
        </w:rPr>
        <w:t xml:space="preserve">tive </w:t>
      </w:r>
      <w:r w:rsidR="007C22FA" w:rsidRPr="004A17C7">
        <w:rPr>
          <w:rFonts w:ascii="Arial" w:hAnsi="Arial" w:cs="Arial"/>
          <w:sz w:val="21"/>
          <w:szCs w:val="21"/>
        </w:rPr>
        <w:t>0.</w:t>
      </w:r>
      <w:r w:rsidR="002A04AE" w:rsidRPr="004A17C7">
        <w:rPr>
          <w:rFonts w:ascii="Arial" w:hAnsi="Arial" w:cs="Arial"/>
          <w:sz w:val="21"/>
          <w:szCs w:val="21"/>
        </w:rPr>
        <w:t>9</w:t>
      </w:r>
      <w:r w:rsidR="007C22FA">
        <w:rPr>
          <w:rFonts w:ascii="Arial" w:hAnsi="Arial" w:cs="Arial"/>
          <w:sz w:val="21"/>
          <w:szCs w:val="21"/>
        </w:rPr>
        <w:t xml:space="preserve"> percent to annual inflation. Since the re-base in the March 2017 quarter, </w:t>
      </w:r>
      <w:r w:rsidR="009B7C06">
        <w:rPr>
          <w:rFonts w:ascii="Arial" w:hAnsi="Arial" w:cs="Arial"/>
          <w:sz w:val="21"/>
          <w:szCs w:val="21"/>
        </w:rPr>
        <w:t xml:space="preserve">we were able to report on the </w:t>
      </w:r>
      <w:r w:rsidR="00DA2DB2">
        <w:rPr>
          <w:rFonts w:ascii="Arial" w:hAnsi="Arial" w:cs="Arial"/>
          <w:sz w:val="21"/>
          <w:szCs w:val="21"/>
        </w:rPr>
        <w:t>R</w:t>
      </w:r>
      <w:r w:rsidR="009B7C06">
        <w:rPr>
          <w:rFonts w:ascii="Arial" w:hAnsi="Arial" w:cs="Arial"/>
          <w:sz w:val="21"/>
          <w:szCs w:val="21"/>
        </w:rPr>
        <w:t xml:space="preserve">ecreation and culture group for the first time </w:t>
      </w:r>
      <w:r w:rsidR="00DA2DB2">
        <w:rPr>
          <w:rFonts w:ascii="Arial" w:hAnsi="Arial" w:cs="Arial"/>
          <w:sz w:val="21"/>
          <w:szCs w:val="21"/>
        </w:rPr>
        <w:t xml:space="preserve">for </w:t>
      </w:r>
      <w:r w:rsidR="009B7C06">
        <w:rPr>
          <w:rFonts w:ascii="Arial" w:hAnsi="Arial" w:cs="Arial"/>
          <w:sz w:val="21"/>
          <w:szCs w:val="21"/>
        </w:rPr>
        <w:t>previous quarter</w:t>
      </w:r>
      <w:r w:rsidR="007707CD">
        <w:rPr>
          <w:rFonts w:ascii="Arial" w:hAnsi="Arial" w:cs="Arial"/>
          <w:sz w:val="21"/>
          <w:szCs w:val="21"/>
        </w:rPr>
        <w:t>s</w:t>
      </w:r>
      <w:r w:rsidR="009B7C06">
        <w:rPr>
          <w:rFonts w:ascii="Arial" w:hAnsi="Arial" w:cs="Arial"/>
          <w:sz w:val="21"/>
          <w:szCs w:val="21"/>
        </w:rPr>
        <w:t xml:space="preserve"> (March</w:t>
      </w:r>
      <w:r w:rsidR="007707CD">
        <w:rPr>
          <w:rFonts w:ascii="Arial" w:hAnsi="Arial" w:cs="Arial"/>
          <w:sz w:val="21"/>
          <w:szCs w:val="21"/>
        </w:rPr>
        <w:t xml:space="preserve"> and June</w:t>
      </w:r>
      <w:r w:rsidR="009B7C06">
        <w:rPr>
          <w:rFonts w:ascii="Arial" w:hAnsi="Arial" w:cs="Arial"/>
          <w:sz w:val="21"/>
          <w:szCs w:val="21"/>
        </w:rPr>
        <w:t xml:space="preserve"> 2018</w:t>
      </w:r>
      <w:r w:rsidR="001A270E">
        <w:rPr>
          <w:rFonts w:ascii="Arial" w:hAnsi="Arial" w:cs="Arial"/>
          <w:sz w:val="21"/>
          <w:szCs w:val="21"/>
        </w:rPr>
        <w:t xml:space="preserve">: down </w:t>
      </w:r>
      <w:r w:rsidR="001A270E" w:rsidRPr="004A17C7">
        <w:rPr>
          <w:rFonts w:ascii="Arial" w:hAnsi="Arial" w:cs="Arial"/>
          <w:sz w:val="21"/>
          <w:szCs w:val="21"/>
        </w:rPr>
        <w:t>9.9</w:t>
      </w:r>
      <w:r w:rsidR="00FC1DBA" w:rsidRPr="004A17C7">
        <w:rPr>
          <w:rFonts w:ascii="Arial" w:hAnsi="Arial" w:cs="Arial"/>
          <w:sz w:val="21"/>
          <w:szCs w:val="21"/>
        </w:rPr>
        <w:t xml:space="preserve"> and</w:t>
      </w:r>
      <w:r w:rsidR="007707CD" w:rsidRPr="004A17C7">
        <w:rPr>
          <w:rFonts w:ascii="Arial" w:hAnsi="Arial" w:cs="Arial"/>
          <w:sz w:val="21"/>
          <w:szCs w:val="21"/>
        </w:rPr>
        <w:t xml:space="preserve"> 10</w:t>
      </w:r>
      <w:r w:rsidR="001A270E">
        <w:rPr>
          <w:rFonts w:ascii="Arial" w:hAnsi="Arial" w:cs="Arial"/>
          <w:sz w:val="21"/>
          <w:szCs w:val="21"/>
        </w:rPr>
        <w:t xml:space="preserve"> percent</w:t>
      </w:r>
      <w:r w:rsidR="00FC1DBA">
        <w:rPr>
          <w:rFonts w:ascii="Arial" w:hAnsi="Arial" w:cs="Arial"/>
          <w:sz w:val="21"/>
          <w:szCs w:val="21"/>
        </w:rPr>
        <w:t>,</w:t>
      </w:r>
      <w:r w:rsidR="00DD5868">
        <w:rPr>
          <w:rFonts w:ascii="Arial" w:hAnsi="Arial" w:cs="Arial"/>
          <w:sz w:val="21"/>
          <w:szCs w:val="21"/>
        </w:rPr>
        <w:t xml:space="preserve"> </w:t>
      </w:r>
      <w:r w:rsidR="00FC1DBA">
        <w:rPr>
          <w:rFonts w:ascii="Arial" w:hAnsi="Arial" w:cs="Arial"/>
          <w:sz w:val="21"/>
          <w:szCs w:val="21"/>
        </w:rPr>
        <w:t>respectively</w:t>
      </w:r>
      <w:r w:rsidR="009B7C06">
        <w:rPr>
          <w:rFonts w:ascii="Arial" w:hAnsi="Arial" w:cs="Arial"/>
          <w:sz w:val="21"/>
          <w:szCs w:val="21"/>
        </w:rPr>
        <w:t>).</w:t>
      </w:r>
      <w:r w:rsidR="004A6F9A">
        <w:rPr>
          <w:rFonts w:ascii="Arial" w:hAnsi="Arial" w:cs="Arial"/>
          <w:sz w:val="21"/>
          <w:szCs w:val="21"/>
        </w:rPr>
        <w:t xml:space="preserve"> </w:t>
      </w:r>
      <w:r w:rsidR="009B7C06">
        <w:rPr>
          <w:rFonts w:ascii="Arial" w:hAnsi="Arial" w:cs="Arial"/>
          <w:sz w:val="21"/>
          <w:szCs w:val="21"/>
        </w:rPr>
        <w:t xml:space="preserve">For the year to the </w:t>
      </w:r>
      <w:r w:rsidR="007707CD">
        <w:rPr>
          <w:rFonts w:ascii="Arial" w:hAnsi="Arial" w:cs="Arial"/>
          <w:sz w:val="21"/>
          <w:szCs w:val="21"/>
        </w:rPr>
        <w:t>September</w:t>
      </w:r>
      <w:r w:rsidR="009B7C06">
        <w:rPr>
          <w:rFonts w:ascii="Arial" w:hAnsi="Arial" w:cs="Arial"/>
          <w:sz w:val="21"/>
          <w:szCs w:val="21"/>
        </w:rPr>
        <w:t xml:space="preserve"> 2018 quarter, </w:t>
      </w:r>
      <w:r w:rsidR="00DA2DB2">
        <w:rPr>
          <w:rFonts w:ascii="Arial" w:hAnsi="Arial" w:cs="Arial"/>
          <w:sz w:val="21"/>
          <w:szCs w:val="21"/>
        </w:rPr>
        <w:t>this</w:t>
      </w:r>
      <w:r w:rsidR="009B7C06">
        <w:rPr>
          <w:rFonts w:ascii="Arial" w:hAnsi="Arial" w:cs="Arial"/>
          <w:sz w:val="21"/>
          <w:szCs w:val="21"/>
        </w:rPr>
        <w:t xml:space="preserve"> group fell </w:t>
      </w:r>
      <w:r w:rsidR="009B7C06" w:rsidRPr="004A17C7">
        <w:rPr>
          <w:rFonts w:ascii="Arial" w:hAnsi="Arial" w:cs="Arial"/>
          <w:sz w:val="21"/>
          <w:szCs w:val="21"/>
        </w:rPr>
        <w:t>1</w:t>
      </w:r>
      <w:r w:rsidR="00FC1DBA" w:rsidRPr="004A17C7">
        <w:rPr>
          <w:rFonts w:ascii="Arial" w:hAnsi="Arial" w:cs="Arial"/>
          <w:sz w:val="21"/>
          <w:szCs w:val="21"/>
        </w:rPr>
        <w:t>1</w:t>
      </w:r>
      <w:r w:rsidR="009B7C06">
        <w:rPr>
          <w:rFonts w:ascii="Arial" w:hAnsi="Arial" w:cs="Arial"/>
          <w:sz w:val="21"/>
          <w:szCs w:val="21"/>
        </w:rPr>
        <w:t xml:space="preserve"> percent, contributing a </w:t>
      </w:r>
      <w:r w:rsidR="009B7C06" w:rsidRPr="004A17C7">
        <w:rPr>
          <w:rFonts w:ascii="Arial" w:hAnsi="Arial" w:cs="Arial"/>
          <w:sz w:val="21"/>
          <w:szCs w:val="21"/>
        </w:rPr>
        <w:t>negative 0.3</w:t>
      </w:r>
      <w:r w:rsidR="009B7C06">
        <w:rPr>
          <w:rFonts w:ascii="Arial" w:hAnsi="Arial" w:cs="Arial"/>
          <w:sz w:val="21"/>
          <w:szCs w:val="21"/>
        </w:rPr>
        <w:t xml:space="preserve"> percent to </w:t>
      </w:r>
      <w:r w:rsidR="005D5261">
        <w:rPr>
          <w:rFonts w:ascii="Arial" w:hAnsi="Arial" w:cs="Arial"/>
          <w:sz w:val="21"/>
          <w:szCs w:val="21"/>
        </w:rPr>
        <w:t xml:space="preserve">the </w:t>
      </w:r>
      <w:r w:rsidR="009B7C06">
        <w:rPr>
          <w:rFonts w:ascii="Arial" w:hAnsi="Arial" w:cs="Arial"/>
          <w:sz w:val="21"/>
          <w:szCs w:val="21"/>
        </w:rPr>
        <w:t xml:space="preserve">annual </w:t>
      </w:r>
      <w:r w:rsidR="005D5261">
        <w:rPr>
          <w:rFonts w:ascii="Arial" w:hAnsi="Arial" w:cs="Arial"/>
          <w:sz w:val="21"/>
          <w:szCs w:val="21"/>
        </w:rPr>
        <w:t xml:space="preserve">change in </w:t>
      </w:r>
      <w:r w:rsidR="009B7C06">
        <w:rPr>
          <w:rFonts w:ascii="Arial" w:hAnsi="Arial" w:cs="Arial"/>
          <w:sz w:val="21"/>
          <w:szCs w:val="21"/>
        </w:rPr>
        <w:t>CPI.</w:t>
      </w:r>
      <w:r w:rsidR="007707CD">
        <w:rPr>
          <w:rFonts w:ascii="Arial" w:hAnsi="Arial" w:cs="Arial"/>
          <w:sz w:val="21"/>
          <w:szCs w:val="21"/>
        </w:rPr>
        <w:t xml:space="preserve"> </w:t>
      </w:r>
      <w:r w:rsidR="00F73F5C">
        <w:rPr>
          <w:rFonts w:ascii="Arial" w:hAnsi="Arial" w:cs="Arial"/>
          <w:sz w:val="21"/>
          <w:szCs w:val="21"/>
        </w:rPr>
        <w:t>Prices in t</w:t>
      </w:r>
      <w:r w:rsidR="007707CD">
        <w:rPr>
          <w:rFonts w:ascii="Arial" w:hAnsi="Arial" w:cs="Arial"/>
          <w:sz w:val="21"/>
          <w:szCs w:val="21"/>
        </w:rPr>
        <w:t>he Miscellaneous goods and services group</w:t>
      </w:r>
      <w:r w:rsidR="00D71EE1">
        <w:rPr>
          <w:rFonts w:ascii="Arial" w:hAnsi="Arial" w:cs="Arial"/>
          <w:sz w:val="21"/>
          <w:szCs w:val="21"/>
        </w:rPr>
        <w:t xml:space="preserve"> went</w:t>
      </w:r>
      <w:r w:rsidR="007707CD">
        <w:rPr>
          <w:rFonts w:ascii="Arial" w:hAnsi="Arial" w:cs="Arial"/>
          <w:sz w:val="21"/>
          <w:szCs w:val="21"/>
        </w:rPr>
        <w:t xml:space="preserve"> </w:t>
      </w:r>
      <w:r w:rsidR="004A17C7">
        <w:rPr>
          <w:rFonts w:ascii="Arial" w:hAnsi="Arial" w:cs="Arial"/>
          <w:sz w:val="21"/>
          <w:szCs w:val="21"/>
        </w:rPr>
        <w:t>down</w:t>
      </w:r>
      <w:r w:rsidR="007707CD">
        <w:rPr>
          <w:rFonts w:ascii="Arial" w:hAnsi="Arial" w:cs="Arial"/>
          <w:sz w:val="21"/>
          <w:szCs w:val="21"/>
        </w:rPr>
        <w:t xml:space="preserve"> </w:t>
      </w:r>
      <w:r w:rsidR="004A17C7">
        <w:rPr>
          <w:rFonts w:ascii="Arial" w:hAnsi="Arial" w:cs="Arial"/>
          <w:sz w:val="21"/>
          <w:szCs w:val="21"/>
        </w:rPr>
        <w:t>2</w:t>
      </w:r>
      <w:r w:rsidR="00FC1DBA" w:rsidRPr="004A17C7">
        <w:rPr>
          <w:rFonts w:ascii="Arial" w:hAnsi="Arial" w:cs="Arial"/>
          <w:sz w:val="21"/>
          <w:szCs w:val="21"/>
        </w:rPr>
        <w:t>.</w:t>
      </w:r>
      <w:r w:rsidR="004A17C7">
        <w:rPr>
          <w:rFonts w:ascii="Arial" w:hAnsi="Arial" w:cs="Arial"/>
          <w:sz w:val="21"/>
          <w:szCs w:val="21"/>
        </w:rPr>
        <w:t>8</w:t>
      </w:r>
      <w:r w:rsidR="007707CD">
        <w:rPr>
          <w:rFonts w:ascii="Arial" w:hAnsi="Arial" w:cs="Arial"/>
          <w:sz w:val="21"/>
          <w:szCs w:val="21"/>
        </w:rPr>
        <w:t xml:space="preserve"> percent, contributing </w:t>
      </w:r>
      <w:r w:rsidR="004A17C7" w:rsidRPr="004A17C7">
        <w:rPr>
          <w:rFonts w:ascii="Arial" w:hAnsi="Arial" w:cs="Arial"/>
          <w:sz w:val="21"/>
          <w:szCs w:val="21"/>
        </w:rPr>
        <w:t xml:space="preserve">negative </w:t>
      </w:r>
      <w:r w:rsidR="007707CD" w:rsidRPr="004A17C7">
        <w:rPr>
          <w:rFonts w:ascii="Arial" w:hAnsi="Arial" w:cs="Arial"/>
          <w:sz w:val="21"/>
          <w:szCs w:val="21"/>
        </w:rPr>
        <w:t>0.</w:t>
      </w:r>
      <w:r w:rsidR="004A17C7" w:rsidRPr="00170FDC">
        <w:rPr>
          <w:rFonts w:ascii="Arial" w:hAnsi="Arial" w:cs="Arial"/>
          <w:sz w:val="21"/>
          <w:szCs w:val="21"/>
        </w:rPr>
        <w:t>1</w:t>
      </w:r>
      <w:r w:rsidR="007707CD">
        <w:rPr>
          <w:rFonts w:ascii="Arial" w:hAnsi="Arial" w:cs="Arial"/>
          <w:sz w:val="21"/>
          <w:szCs w:val="21"/>
        </w:rPr>
        <w:t xml:space="preserve"> percent.</w:t>
      </w:r>
    </w:p>
    <w:p w14:paraId="7DEE71E0" w14:textId="77777777" w:rsidR="00E5141B" w:rsidRPr="007C22FA" w:rsidRDefault="00E5141B" w:rsidP="0044434D">
      <w:pPr>
        <w:spacing w:after="0"/>
        <w:rPr>
          <w:rFonts w:ascii="Arial" w:hAnsi="Arial" w:cs="Arial"/>
          <w:sz w:val="21"/>
          <w:szCs w:val="21"/>
        </w:rPr>
      </w:pPr>
    </w:p>
    <w:p w14:paraId="7B9D1341" w14:textId="4D89A1FF" w:rsidR="001A270E" w:rsidRDefault="007228DC">
      <w:pPr>
        <w:spacing w:after="0"/>
        <w:rPr>
          <w:rFonts w:ascii="Arial" w:hAnsi="Arial" w:cs="Arial"/>
          <w:sz w:val="21"/>
          <w:szCs w:val="21"/>
        </w:rPr>
      </w:pPr>
      <w:r w:rsidRPr="0089285E">
        <w:rPr>
          <w:rFonts w:ascii="Arial" w:hAnsi="Arial" w:cs="Arial"/>
          <w:sz w:val="21"/>
          <w:szCs w:val="21"/>
        </w:rPr>
        <w:lastRenderedPageBreak/>
        <w:t xml:space="preserve">Other contributions to annual </w:t>
      </w:r>
      <w:r w:rsidR="004A19B0" w:rsidRPr="0089285E">
        <w:rPr>
          <w:rFonts w:ascii="Arial" w:hAnsi="Arial" w:cs="Arial"/>
          <w:sz w:val="21"/>
          <w:szCs w:val="21"/>
        </w:rPr>
        <w:t xml:space="preserve">CPI </w:t>
      </w:r>
      <w:r w:rsidRPr="0089285E">
        <w:rPr>
          <w:rFonts w:ascii="Arial" w:hAnsi="Arial" w:cs="Arial"/>
          <w:sz w:val="21"/>
          <w:szCs w:val="21"/>
        </w:rPr>
        <w:t>were minor</w:t>
      </w:r>
      <w:r w:rsidR="004A19B0" w:rsidRPr="0089285E">
        <w:rPr>
          <w:rFonts w:ascii="Arial" w:hAnsi="Arial" w:cs="Arial"/>
          <w:sz w:val="21"/>
          <w:szCs w:val="21"/>
        </w:rPr>
        <w:t xml:space="preserve">, including the </w:t>
      </w:r>
      <w:r w:rsidR="00096679">
        <w:rPr>
          <w:rFonts w:ascii="Arial" w:hAnsi="Arial" w:cs="Arial"/>
          <w:sz w:val="21"/>
          <w:szCs w:val="21"/>
        </w:rPr>
        <w:t xml:space="preserve"> Clothing and footwear </w:t>
      </w:r>
      <w:r w:rsidR="009B7C06" w:rsidRPr="0089285E">
        <w:rPr>
          <w:rFonts w:ascii="Arial" w:hAnsi="Arial" w:cs="Arial"/>
          <w:sz w:val="21"/>
          <w:szCs w:val="21"/>
        </w:rPr>
        <w:t xml:space="preserve">group (prices </w:t>
      </w:r>
      <w:r w:rsidR="00096679">
        <w:rPr>
          <w:rFonts w:ascii="Arial" w:hAnsi="Arial" w:cs="Arial"/>
          <w:sz w:val="21"/>
          <w:szCs w:val="21"/>
        </w:rPr>
        <w:t>down</w:t>
      </w:r>
      <w:r w:rsidR="009B7C06" w:rsidRPr="0089285E">
        <w:rPr>
          <w:rFonts w:ascii="Arial" w:hAnsi="Arial" w:cs="Arial"/>
          <w:sz w:val="21"/>
          <w:szCs w:val="21"/>
        </w:rPr>
        <w:t xml:space="preserve"> </w:t>
      </w:r>
      <w:r w:rsidR="00096679">
        <w:rPr>
          <w:rFonts w:ascii="Arial" w:hAnsi="Arial" w:cs="Arial"/>
          <w:sz w:val="21"/>
          <w:szCs w:val="21"/>
        </w:rPr>
        <w:t>1.5</w:t>
      </w:r>
      <w:r w:rsidR="00DA2DB2" w:rsidRPr="0089285E">
        <w:rPr>
          <w:rFonts w:ascii="Arial" w:hAnsi="Arial" w:cs="Arial"/>
          <w:sz w:val="21"/>
          <w:szCs w:val="21"/>
        </w:rPr>
        <w:t xml:space="preserve"> </w:t>
      </w:r>
      <w:r w:rsidR="009B7C06" w:rsidRPr="0089285E">
        <w:rPr>
          <w:rFonts w:ascii="Arial" w:hAnsi="Arial" w:cs="Arial"/>
          <w:sz w:val="21"/>
          <w:szCs w:val="21"/>
        </w:rPr>
        <w:t>percent</w:t>
      </w:r>
      <w:r w:rsidR="0089285E">
        <w:rPr>
          <w:rFonts w:ascii="Arial" w:hAnsi="Arial" w:cs="Arial"/>
          <w:sz w:val="21"/>
          <w:szCs w:val="21"/>
        </w:rPr>
        <w:t>, contribut</w:t>
      </w:r>
      <w:r w:rsidR="00D832A2">
        <w:rPr>
          <w:rFonts w:ascii="Arial" w:hAnsi="Arial" w:cs="Arial"/>
          <w:sz w:val="21"/>
          <w:szCs w:val="21"/>
        </w:rPr>
        <w:t>ing</w:t>
      </w:r>
      <w:r w:rsidR="0089285E">
        <w:rPr>
          <w:rFonts w:ascii="Arial" w:hAnsi="Arial" w:cs="Arial"/>
          <w:sz w:val="21"/>
          <w:szCs w:val="21"/>
        </w:rPr>
        <w:t xml:space="preserve"> </w:t>
      </w:r>
      <w:r w:rsidR="00096679">
        <w:rPr>
          <w:rFonts w:ascii="Arial" w:hAnsi="Arial" w:cs="Arial"/>
          <w:sz w:val="21"/>
          <w:szCs w:val="21"/>
        </w:rPr>
        <w:t xml:space="preserve">negative </w:t>
      </w:r>
      <w:r w:rsidR="0089285E">
        <w:rPr>
          <w:rFonts w:ascii="Arial" w:hAnsi="Arial" w:cs="Arial"/>
          <w:sz w:val="21"/>
          <w:szCs w:val="21"/>
        </w:rPr>
        <w:t>0.</w:t>
      </w:r>
      <w:r w:rsidR="00096679">
        <w:rPr>
          <w:rFonts w:ascii="Arial" w:hAnsi="Arial" w:cs="Arial"/>
          <w:sz w:val="21"/>
          <w:szCs w:val="21"/>
        </w:rPr>
        <w:t>1</w:t>
      </w:r>
      <w:r w:rsidR="0089285E">
        <w:rPr>
          <w:rFonts w:ascii="Arial" w:hAnsi="Arial" w:cs="Arial"/>
          <w:sz w:val="21"/>
          <w:szCs w:val="21"/>
        </w:rPr>
        <w:t xml:space="preserve"> to</w:t>
      </w:r>
      <w:r w:rsidR="003975EA">
        <w:rPr>
          <w:rFonts w:ascii="Arial" w:hAnsi="Arial" w:cs="Arial"/>
          <w:sz w:val="21"/>
          <w:szCs w:val="21"/>
        </w:rPr>
        <w:t xml:space="preserve"> annual</w:t>
      </w:r>
      <w:r w:rsidR="0089285E">
        <w:rPr>
          <w:rFonts w:ascii="Arial" w:hAnsi="Arial" w:cs="Arial"/>
          <w:sz w:val="21"/>
          <w:szCs w:val="21"/>
        </w:rPr>
        <w:t xml:space="preserve"> CPI</w:t>
      </w:r>
      <w:r w:rsidR="009B7C06" w:rsidRPr="0089285E">
        <w:rPr>
          <w:rFonts w:ascii="Arial" w:hAnsi="Arial" w:cs="Arial"/>
          <w:sz w:val="21"/>
          <w:szCs w:val="21"/>
        </w:rPr>
        <w:t>)</w:t>
      </w:r>
      <w:r w:rsidR="00D832A2">
        <w:rPr>
          <w:rFonts w:ascii="Arial" w:hAnsi="Arial" w:cs="Arial"/>
          <w:sz w:val="21"/>
          <w:szCs w:val="21"/>
        </w:rPr>
        <w:t>;</w:t>
      </w:r>
      <w:r w:rsidR="00DA2DB2" w:rsidRPr="009F0D08">
        <w:rPr>
          <w:rFonts w:ascii="Arial" w:hAnsi="Arial" w:cs="Arial"/>
          <w:sz w:val="21"/>
          <w:szCs w:val="21"/>
        </w:rPr>
        <w:t xml:space="preserve"> </w:t>
      </w:r>
      <w:r w:rsidR="00D832A2">
        <w:rPr>
          <w:rFonts w:ascii="Arial" w:hAnsi="Arial" w:cs="Arial"/>
          <w:sz w:val="21"/>
          <w:szCs w:val="21"/>
        </w:rPr>
        <w:t xml:space="preserve">and the </w:t>
      </w:r>
      <w:r w:rsidR="0089285E">
        <w:rPr>
          <w:rFonts w:ascii="Arial" w:hAnsi="Arial" w:cs="Arial"/>
          <w:sz w:val="21"/>
          <w:szCs w:val="21"/>
        </w:rPr>
        <w:t xml:space="preserve">Housing, water, electricity, gas and other fuels group (prices </w:t>
      </w:r>
      <w:r w:rsidR="00096679">
        <w:rPr>
          <w:rFonts w:ascii="Arial" w:hAnsi="Arial" w:cs="Arial"/>
          <w:sz w:val="21"/>
          <w:szCs w:val="21"/>
        </w:rPr>
        <w:t>down</w:t>
      </w:r>
      <w:r w:rsidR="0089285E">
        <w:rPr>
          <w:rFonts w:ascii="Arial" w:hAnsi="Arial" w:cs="Arial"/>
          <w:sz w:val="21"/>
          <w:szCs w:val="21"/>
        </w:rPr>
        <w:t xml:space="preserve"> </w:t>
      </w:r>
      <w:r w:rsidR="00096679">
        <w:rPr>
          <w:rFonts w:ascii="Arial" w:hAnsi="Arial" w:cs="Arial"/>
          <w:sz w:val="21"/>
          <w:szCs w:val="21"/>
        </w:rPr>
        <w:t>2.</w:t>
      </w:r>
      <w:r w:rsidR="004A17C7">
        <w:rPr>
          <w:rFonts w:ascii="Arial" w:hAnsi="Arial" w:cs="Arial"/>
          <w:sz w:val="21"/>
          <w:szCs w:val="21"/>
        </w:rPr>
        <w:t>3</w:t>
      </w:r>
      <w:r w:rsidR="0089285E">
        <w:rPr>
          <w:rFonts w:ascii="Arial" w:hAnsi="Arial" w:cs="Arial"/>
          <w:sz w:val="21"/>
          <w:szCs w:val="21"/>
        </w:rPr>
        <w:t xml:space="preserve"> percent,</w:t>
      </w:r>
      <w:r w:rsidR="00096679">
        <w:rPr>
          <w:rFonts w:ascii="Arial" w:hAnsi="Arial" w:cs="Arial"/>
          <w:sz w:val="21"/>
          <w:szCs w:val="21"/>
        </w:rPr>
        <w:t xml:space="preserve"> contributing negative 0.2 percent to annual CPI</w:t>
      </w:r>
      <w:r w:rsidR="0089285E">
        <w:rPr>
          <w:rFonts w:ascii="Arial" w:hAnsi="Arial" w:cs="Arial"/>
          <w:sz w:val="21"/>
          <w:szCs w:val="21"/>
        </w:rPr>
        <w:t>)</w:t>
      </w:r>
      <w:r w:rsidR="00D832A2">
        <w:rPr>
          <w:rFonts w:ascii="Arial" w:hAnsi="Arial" w:cs="Arial"/>
          <w:sz w:val="21"/>
          <w:szCs w:val="21"/>
        </w:rPr>
        <w:t>.</w:t>
      </w:r>
      <w:r w:rsidR="0089285E">
        <w:rPr>
          <w:rFonts w:ascii="Arial" w:hAnsi="Arial" w:cs="Arial"/>
          <w:sz w:val="21"/>
          <w:szCs w:val="21"/>
        </w:rPr>
        <w:t xml:space="preserve"> </w:t>
      </w:r>
      <w:r w:rsidR="001A270E">
        <w:rPr>
          <w:rFonts w:ascii="Arial" w:hAnsi="Arial" w:cs="Arial"/>
          <w:sz w:val="21"/>
          <w:szCs w:val="21"/>
        </w:rPr>
        <w:t xml:space="preserve">The Communication </w:t>
      </w:r>
      <w:r w:rsidR="001E711A">
        <w:rPr>
          <w:rFonts w:ascii="Arial" w:hAnsi="Arial" w:cs="Arial"/>
          <w:sz w:val="21"/>
          <w:szCs w:val="21"/>
        </w:rPr>
        <w:t xml:space="preserve">group </w:t>
      </w:r>
      <w:r w:rsidR="001A270E">
        <w:rPr>
          <w:rFonts w:ascii="Arial" w:hAnsi="Arial" w:cs="Arial"/>
          <w:sz w:val="21"/>
          <w:szCs w:val="21"/>
        </w:rPr>
        <w:t>did not change.</w:t>
      </w:r>
    </w:p>
    <w:p w14:paraId="2605B928" w14:textId="77777777" w:rsidR="005A1AF8" w:rsidRDefault="005A1AF8">
      <w:pPr>
        <w:spacing w:after="0"/>
        <w:rPr>
          <w:rFonts w:ascii="Arial" w:hAnsi="Arial" w:cs="Arial"/>
          <w:sz w:val="21"/>
          <w:szCs w:val="21"/>
        </w:rPr>
      </w:pPr>
    </w:p>
    <w:p w14:paraId="0D74D1F0" w14:textId="30DB52D8" w:rsidR="001E711A" w:rsidRDefault="001E711A">
      <w:pPr>
        <w:spacing w:after="0"/>
        <w:rPr>
          <w:rFonts w:ascii="Arial" w:hAnsi="Arial" w:cs="Arial"/>
          <w:b/>
          <w:bCs/>
          <w:color w:val="000000"/>
          <w:sz w:val="26"/>
          <w:szCs w:val="26"/>
        </w:rPr>
      </w:pPr>
      <w:bookmarkStart w:id="25" w:name="RebaseImplemented"/>
      <w:r w:rsidRPr="00170FDC">
        <w:rPr>
          <w:rFonts w:ascii="Arial" w:hAnsi="Arial" w:cs="Arial"/>
          <w:b/>
          <w:bCs/>
          <w:color w:val="000000"/>
          <w:sz w:val="26"/>
          <w:szCs w:val="26"/>
        </w:rPr>
        <w:t>Rebase of March 2017 quarter now fully implemented</w:t>
      </w:r>
    </w:p>
    <w:bookmarkEnd w:id="25"/>
    <w:p w14:paraId="7DDF0A39" w14:textId="77777777" w:rsidR="001E711A" w:rsidRDefault="001E711A">
      <w:pPr>
        <w:spacing w:after="0"/>
        <w:rPr>
          <w:rFonts w:ascii="Arial" w:hAnsi="Arial" w:cs="Arial"/>
          <w:b/>
          <w:bCs/>
          <w:color w:val="000000"/>
          <w:sz w:val="26"/>
          <w:szCs w:val="26"/>
        </w:rPr>
      </w:pPr>
    </w:p>
    <w:p w14:paraId="70982856" w14:textId="37824079" w:rsidR="001E711A" w:rsidRDefault="001E711A">
      <w:pPr>
        <w:spacing w:after="0"/>
        <w:rPr>
          <w:rFonts w:ascii="Arial" w:hAnsi="Arial" w:cs="Arial"/>
          <w:sz w:val="21"/>
          <w:szCs w:val="21"/>
        </w:rPr>
      </w:pPr>
      <w:r w:rsidRPr="00170FDC">
        <w:rPr>
          <w:rFonts w:ascii="Arial" w:hAnsi="Arial" w:cs="Arial"/>
          <w:sz w:val="21"/>
          <w:szCs w:val="21"/>
        </w:rPr>
        <w:t xml:space="preserve">The Tokelau CPI </w:t>
      </w:r>
      <w:r>
        <w:rPr>
          <w:rFonts w:ascii="Arial" w:hAnsi="Arial" w:cs="Arial"/>
          <w:sz w:val="21"/>
          <w:szCs w:val="21"/>
        </w:rPr>
        <w:t xml:space="preserve">was rebased in the March 2017 quarter, mainly </w:t>
      </w:r>
      <w:r w:rsidR="000C777D">
        <w:rPr>
          <w:rFonts w:ascii="Arial" w:hAnsi="Arial" w:cs="Arial"/>
          <w:sz w:val="21"/>
          <w:szCs w:val="21"/>
        </w:rPr>
        <w:t>founded on data from</w:t>
      </w:r>
      <w:r>
        <w:rPr>
          <w:rFonts w:ascii="Arial" w:hAnsi="Arial" w:cs="Arial"/>
          <w:sz w:val="21"/>
          <w:szCs w:val="21"/>
        </w:rPr>
        <w:t xml:space="preserve"> the 2015/16 Household income and Expenditure Survey (HIES). Although the basket of goods and services was adjusted accordingly</w:t>
      </w:r>
      <w:r w:rsidR="000C777D">
        <w:rPr>
          <w:rFonts w:ascii="Arial" w:hAnsi="Arial" w:cs="Arial"/>
          <w:sz w:val="21"/>
          <w:szCs w:val="21"/>
        </w:rPr>
        <w:t xml:space="preserve"> then</w:t>
      </w:r>
      <w:r>
        <w:rPr>
          <w:rFonts w:ascii="Arial" w:hAnsi="Arial" w:cs="Arial"/>
          <w:sz w:val="21"/>
          <w:szCs w:val="21"/>
        </w:rPr>
        <w:t>, it was decided at the time to publish CPI continuously from base quarter June 2012 (=1.000).</w:t>
      </w:r>
    </w:p>
    <w:p w14:paraId="490D1E41" w14:textId="77777777" w:rsidR="001E711A" w:rsidRDefault="001E711A">
      <w:pPr>
        <w:spacing w:after="0"/>
        <w:rPr>
          <w:rFonts w:ascii="Arial" w:hAnsi="Arial" w:cs="Arial"/>
          <w:sz w:val="21"/>
          <w:szCs w:val="21"/>
        </w:rPr>
      </w:pPr>
    </w:p>
    <w:p w14:paraId="170528E8" w14:textId="6933FE6C" w:rsidR="001E711A" w:rsidRDefault="001E711A">
      <w:pPr>
        <w:spacing w:after="0"/>
        <w:rPr>
          <w:rFonts w:ascii="Arial" w:hAnsi="Arial" w:cs="Arial"/>
          <w:sz w:val="21"/>
          <w:szCs w:val="21"/>
        </w:rPr>
      </w:pPr>
      <w:r>
        <w:rPr>
          <w:rFonts w:ascii="Arial" w:hAnsi="Arial" w:cs="Arial"/>
          <w:sz w:val="21"/>
          <w:szCs w:val="21"/>
        </w:rPr>
        <w:t xml:space="preserve">Upon further consideration we are now presenting data </w:t>
      </w:r>
      <w:r w:rsidR="000C777D">
        <w:rPr>
          <w:rFonts w:ascii="Arial" w:hAnsi="Arial" w:cs="Arial"/>
          <w:sz w:val="21"/>
          <w:szCs w:val="21"/>
        </w:rPr>
        <w:t xml:space="preserve">from base quarter March 2017 (=100.0), see graph below. The tables accompanying this release provide all data </w:t>
      </w:r>
      <w:r w:rsidR="005D5261">
        <w:rPr>
          <w:rFonts w:ascii="Arial" w:hAnsi="Arial" w:cs="Arial"/>
          <w:sz w:val="21"/>
          <w:szCs w:val="21"/>
        </w:rPr>
        <w:t xml:space="preserve">referenced </w:t>
      </w:r>
      <w:r w:rsidR="000C777D">
        <w:rPr>
          <w:rFonts w:ascii="Arial" w:hAnsi="Arial" w:cs="Arial"/>
          <w:sz w:val="21"/>
          <w:szCs w:val="21"/>
        </w:rPr>
        <w:t>to that quarter; in the next release we will continue t</w:t>
      </w:r>
      <w:r w:rsidR="004A6F9A">
        <w:rPr>
          <w:rFonts w:ascii="Arial" w:hAnsi="Arial" w:cs="Arial"/>
          <w:sz w:val="21"/>
          <w:szCs w:val="21"/>
        </w:rPr>
        <w:t>he</w:t>
      </w:r>
      <w:r w:rsidR="000C777D">
        <w:rPr>
          <w:rFonts w:ascii="Arial" w:hAnsi="Arial" w:cs="Arial"/>
          <w:sz w:val="21"/>
          <w:szCs w:val="21"/>
        </w:rPr>
        <w:t xml:space="preserve"> usual series of current and </w:t>
      </w:r>
      <w:r w:rsidR="004A6F9A">
        <w:rPr>
          <w:rFonts w:ascii="Arial" w:hAnsi="Arial" w:cs="Arial"/>
          <w:sz w:val="21"/>
          <w:szCs w:val="21"/>
        </w:rPr>
        <w:t>four</w:t>
      </w:r>
      <w:r w:rsidR="000C777D">
        <w:rPr>
          <w:rFonts w:ascii="Arial" w:hAnsi="Arial" w:cs="Arial"/>
          <w:sz w:val="21"/>
          <w:szCs w:val="21"/>
        </w:rPr>
        <w:t xml:space="preserve"> preceding quarters.</w:t>
      </w:r>
    </w:p>
    <w:p w14:paraId="6A9BD666" w14:textId="77777777" w:rsidR="000C777D" w:rsidRDefault="000C777D">
      <w:pPr>
        <w:spacing w:after="0"/>
        <w:rPr>
          <w:rFonts w:ascii="Arial" w:hAnsi="Arial" w:cs="Arial"/>
          <w:sz w:val="21"/>
          <w:szCs w:val="21"/>
        </w:rPr>
      </w:pPr>
    </w:p>
    <w:p w14:paraId="675580AA" w14:textId="34188157" w:rsidR="000C777D" w:rsidRDefault="000C777D">
      <w:pPr>
        <w:spacing w:after="0"/>
        <w:rPr>
          <w:rFonts w:ascii="Arial" w:hAnsi="Arial" w:cs="Arial"/>
          <w:sz w:val="21"/>
          <w:szCs w:val="21"/>
        </w:rPr>
      </w:pPr>
      <w:r>
        <w:rPr>
          <w:rFonts w:ascii="Arial" w:hAnsi="Arial" w:cs="Arial"/>
          <w:sz w:val="21"/>
          <w:szCs w:val="21"/>
        </w:rPr>
        <w:t xml:space="preserve">We will continue to separate out the effect of cigarette pricing policy, as Tokelau aims to be smoke-free in 2020. Adjustments to the weighting of cigarettes (currently </w:t>
      </w:r>
      <w:r w:rsidR="004A6F9A">
        <w:rPr>
          <w:rFonts w:ascii="Arial" w:hAnsi="Arial" w:cs="Arial"/>
          <w:sz w:val="21"/>
          <w:szCs w:val="21"/>
        </w:rPr>
        <w:t>16.16</w:t>
      </w:r>
      <w:r>
        <w:rPr>
          <w:rFonts w:ascii="Arial" w:hAnsi="Arial" w:cs="Arial"/>
          <w:sz w:val="21"/>
          <w:szCs w:val="21"/>
        </w:rPr>
        <w:t>%) will be attempted as information comes to hand about the effectiveness of this policy</w:t>
      </w:r>
      <w:r w:rsidR="004A6F9A">
        <w:rPr>
          <w:rFonts w:ascii="Arial" w:hAnsi="Arial" w:cs="Arial"/>
          <w:sz w:val="21"/>
          <w:szCs w:val="21"/>
        </w:rPr>
        <w:t>: it</w:t>
      </w:r>
      <w:r>
        <w:rPr>
          <w:rFonts w:ascii="Arial" w:hAnsi="Arial" w:cs="Arial"/>
          <w:sz w:val="21"/>
          <w:szCs w:val="21"/>
        </w:rPr>
        <w:t xml:space="preserve"> should reduce cigarette purchases in the co-op stores of the villages, and hence their weighting in CPI to nil eventually</w:t>
      </w:r>
      <w:r w:rsidR="00D54D05">
        <w:rPr>
          <w:rFonts w:ascii="Arial" w:hAnsi="Arial" w:cs="Arial"/>
          <w:sz w:val="21"/>
          <w:szCs w:val="21"/>
        </w:rPr>
        <w:t>,</w:t>
      </w:r>
      <w:r>
        <w:rPr>
          <w:rFonts w:ascii="Arial" w:hAnsi="Arial" w:cs="Arial"/>
          <w:sz w:val="21"/>
          <w:szCs w:val="21"/>
        </w:rPr>
        <w:t xml:space="preserve"> as in-store sales cease.</w:t>
      </w:r>
    </w:p>
    <w:p w14:paraId="50A62715" w14:textId="77777777" w:rsidR="000C777D" w:rsidRPr="00170FDC" w:rsidRDefault="000C777D">
      <w:pPr>
        <w:spacing w:after="0"/>
        <w:rPr>
          <w:rFonts w:ascii="Arial" w:hAnsi="Arial" w:cs="Arial"/>
          <w:sz w:val="21"/>
          <w:szCs w:val="21"/>
        </w:rPr>
      </w:pPr>
    </w:p>
    <w:p w14:paraId="449CFDEF" w14:textId="3F634307" w:rsidR="005A1AF8" w:rsidRDefault="00FF3B8A">
      <w:pPr>
        <w:spacing w:after="0"/>
        <w:rPr>
          <w:rFonts w:ascii="Arial" w:hAnsi="Arial" w:cs="Arial"/>
          <w:sz w:val="21"/>
          <w:szCs w:val="21"/>
        </w:rPr>
      </w:pPr>
      <w:r>
        <w:rPr>
          <w:rFonts w:ascii="Arial" w:hAnsi="Arial" w:cs="Arial"/>
          <w:noProof/>
          <w:sz w:val="21"/>
          <w:szCs w:val="21"/>
          <w:lang w:val="en-NZ" w:eastAsia="en-NZ"/>
        </w:rPr>
        <w:drawing>
          <wp:inline distT="0" distB="0" distL="0" distR="0" wp14:anchorId="18D32E8F" wp14:editId="4F1684A0">
            <wp:extent cx="6390167" cy="32960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9284" cy="3295638"/>
                    </a:xfrm>
                    <a:prstGeom prst="rect">
                      <a:avLst/>
                    </a:prstGeom>
                    <a:noFill/>
                  </pic:spPr>
                </pic:pic>
              </a:graphicData>
            </a:graphic>
          </wp:inline>
        </w:drawing>
      </w:r>
    </w:p>
    <w:p w14:paraId="40DED1E8" w14:textId="6C850AB3" w:rsidR="005A1AF8" w:rsidRDefault="005A1AF8">
      <w:pPr>
        <w:spacing w:after="0"/>
        <w:rPr>
          <w:rFonts w:ascii="Arial" w:hAnsi="Arial" w:cs="Arial"/>
          <w:sz w:val="21"/>
          <w:szCs w:val="21"/>
        </w:rPr>
      </w:pPr>
      <w:r>
        <w:rPr>
          <w:rFonts w:ascii="Arial" w:hAnsi="Arial" w:cs="Arial"/>
          <w:sz w:val="21"/>
          <w:szCs w:val="21"/>
        </w:rPr>
        <w:br w:type="page"/>
      </w:r>
    </w:p>
    <w:p w14:paraId="43BB6C1E" w14:textId="2C0AD68A" w:rsidR="006C377E" w:rsidRPr="009B7C06" w:rsidRDefault="006C377E" w:rsidP="00964C4D">
      <w:pPr>
        <w:spacing w:after="0"/>
        <w:rPr>
          <w:rFonts w:ascii="Arial" w:hAnsi="Arial" w:cs="Arial"/>
          <w:b/>
          <w:bCs/>
          <w:color w:val="000000"/>
          <w:sz w:val="26"/>
          <w:szCs w:val="26"/>
        </w:rPr>
      </w:pPr>
      <w:bookmarkStart w:id="26" w:name="_Effect_of_cigarette"/>
      <w:bookmarkStart w:id="27" w:name="Definitions"/>
      <w:bookmarkEnd w:id="26"/>
      <w:r w:rsidRPr="009B7C06">
        <w:rPr>
          <w:rFonts w:ascii="Arial" w:hAnsi="Arial" w:cs="Arial"/>
          <w:b/>
          <w:bCs/>
          <w:color w:val="000000"/>
          <w:sz w:val="26"/>
          <w:szCs w:val="26"/>
        </w:rPr>
        <w:lastRenderedPageBreak/>
        <w:t>Definitions</w:t>
      </w:r>
    </w:p>
    <w:bookmarkEnd w:id="27"/>
    <w:p w14:paraId="082F90FF" w14:textId="45BCE943" w:rsidR="006C377E" w:rsidRPr="009B7C06" w:rsidRDefault="006C377E" w:rsidP="00D27C39">
      <w:pPr>
        <w:rPr>
          <w:rFonts w:ascii="Arial" w:hAnsi="Arial" w:cs="Arial"/>
          <w:b/>
          <w:sz w:val="26"/>
          <w:szCs w:val="26"/>
        </w:rPr>
      </w:pPr>
      <w:r w:rsidRPr="009B7C06">
        <w:rPr>
          <w:rFonts w:ascii="Arial" w:hAnsi="Arial" w:cs="Arial"/>
          <w:b/>
          <w:sz w:val="26"/>
          <w:szCs w:val="26"/>
        </w:rPr>
        <w:t xml:space="preserve">About the </w:t>
      </w:r>
      <w:r w:rsidR="003573D3" w:rsidRPr="009B7C06">
        <w:rPr>
          <w:rFonts w:ascii="Arial" w:hAnsi="Arial" w:cs="Arial"/>
          <w:b/>
          <w:sz w:val="26"/>
          <w:szCs w:val="26"/>
        </w:rPr>
        <w:t>c</w:t>
      </w:r>
      <w:r w:rsidR="00DF69BD" w:rsidRPr="009B7C06">
        <w:rPr>
          <w:rFonts w:ascii="Arial" w:hAnsi="Arial" w:cs="Arial"/>
          <w:b/>
          <w:sz w:val="26"/>
          <w:szCs w:val="26"/>
        </w:rPr>
        <w:t>onsumer</w:t>
      </w:r>
      <w:r w:rsidRPr="009B7C06">
        <w:rPr>
          <w:rFonts w:ascii="Arial" w:hAnsi="Arial" w:cs="Arial"/>
          <w:b/>
          <w:sz w:val="26"/>
          <w:szCs w:val="26"/>
        </w:rPr>
        <w:t xml:space="preserve"> price index</w:t>
      </w:r>
    </w:p>
    <w:p w14:paraId="23DA2ECD" w14:textId="7B4D83B5" w:rsidR="006C377E" w:rsidRPr="009B7C06" w:rsidRDefault="006C377E" w:rsidP="00D27C39">
      <w:pPr>
        <w:rPr>
          <w:rFonts w:ascii="Arial" w:hAnsi="Arial" w:cs="Arial"/>
          <w:color w:val="000000"/>
          <w:sz w:val="22"/>
          <w:szCs w:val="22"/>
        </w:rPr>
      </w:pPr>
      <w:r w:rsidRPr="009B7C06">
        <w:rPr>
          <w:rFonts w:ascii="Arial" w:hAnsi="Arial" w:cs="Arial"/>
          <w:color w:val="000000"/>
          <w:sz w:val="22"/>
          <w:szCs w:val="22"/>
        </w:rPr>
        <w:t xml:space="preserve">The </w:t>
      </w:r>
      <w:r w:rsidR="003573D3" w:rsidRPr="009B7C06">
        <w:rPr>
          <w:rFonts w:ascii="Arial" w:hAnsi="Arial" w:cs="Arial"/>
          <w:color w:val="000000"/>
          <w:sz w:val="22"/>
          <w:szCs w:val="22"/>
        </w:rPr>
        <w:t>c</w:t>
      </w:r>
      <w:r w:rsidR="00DF69BD" w:rsidRPr="009B7C06">
        <w:rPr>
          <w:rFonts w:ascii="Arial" w:hAnsi="Arial" w:cs="Arial"/>
          <w:color w:val="000000"/>
          <w:sz w:val="22"/>
          <w:szCs w:val="22"/>
        </w:rPr>
        <w:t>onsumer</w:t>
      </w:r>
      <w:r w:rsidRPr="009B7C06">
        <w:rPr>
          <w:rFonts w:ascii="Arial" w:hAnsi="Arial" w:cs="Arial"/>
          <w:color w:val="000000"/>
          <w:sz w:val="22"/>
          <w:szCs w:val="22"/>
        </w:rPr>
        <w:t xml:space="preserve"> price index (CPI) measures the changing price of a fixed basket of goods and services purchased by households. The selection and relative importance of the goods and services in the CPI basket represents the overall expenditure pattern of households</w:t>
      </w:r>
      <w:r w:rsidR="00F90769" w:rsidRPr="009B7C06">
        <w:rPr>
          <w:rFonts w:ascii="Arial" w:hAnsi="Arial" w:cs="Arial"/>
          <w:color w:val="000000"/>
          <w:sz w:val="22"/>
          <w:szCs w:val="22"/>
        </w:rPr>
        <w:t xml:space="preserve"> in Tokelau</w:t>
      </w:r>
      <w:r w:rsidRPr="009B7C06">
        <w:rPr>
          <w:rFonts w:ascii="Arial" w:hAnsi="Arial" w:cs="Arial"/>
          <w:color w:val="000000"/>
          <w:sz w:val="22"/>
          <w:szCs w:val="22"/>
        </w:rPr>
        <w:t>.</w:t>
      </w:r>
    </w:p>
    <w:p w14:paraId="04422FBD" w14:textId="77777777" w:rsidR="006C377E" w:rsidRPr="009B7C06" w:rsidRDefault="006C377E" w:rsidP="00D27C39">
      <w:pPr>
        <w:rPr>
          <w:rFonts w:ascii="Arial" w:hAnsi="Arial" w:cs="Arial"/>
          <w:color w:val="000000"/>
          <w:sz w:val="22"/>
          <w:szCs w:val="22"/>
        </w:rPr>
      </w:pPr>
      <w:r w:rsidRPr="009B7C06">
        <w:rPr>
          <w:rFonts w:ascii="Arial" w:hAnsi="Arial" w:cs="Arial"/>
          <w:color w:val="000000"/>
          <w:sz w:val="22"/>
          <w:szCs w:val="22"/>
        </w:rPr>
        <w:t>The aim of the CPI is to measure price changes of the same sample of products at each outlet over time. When there is a change in the size or quality of any of the goods or services in the basket, an adjustment is made to ensure that the price change shown in the CPI is not affected by the change in size or quality.</w:t>
      </w:r>
    </w:p>
    <w:p w14:paraId="7A2E2126" w14:textId="5B65B22E" w:rsidR="006C377E" w:rsidRPr="009B7C06" w:rsidRDefault="006C377E" w:rsidP="00D27C39">
      <w:pPr>
        <w:rPr>
          <w:rFonts w:ascii="Arial" w:hAnsi="Arial" w:cs="Arial"/>
          <w:color w:val="000000"/>
          <w:sz w:val="22"/>
          <w:szCs w:val="22"/>
        </w:rPr>
      </w:pPr>
      <w:r w:rsidRPr="009B7C06">
        <w:rPr>
          <w:rFonts w:ascii="Arial" w:hAnsi="Arial" w:cs="Arial"/>
          <w:color w:val="000000"/>
          <w:sz w:val="22"/>
          <w:szCs w:val="22"/>
        </w:rPr>
        <w:t xml:space="preserve">The CPI </w:t>
      </w:r>
      <w:r w:rsidR="00F90769" w:rsidRPr="009B7C06">
        <w:rPr>
          <w:rFonts w:ascii="Arial" w:hAnsi="Arial" w:cs="Arial"/>
          <w:color w:val="000000"/>
          <w:sz w:val="22"/>
          <w:szCs w:val="22"/>
        </w:rPr>
        <w:t xml:space="preserve">of Tokelau </w:t>
      </w:r>
      <w:r w:rsidR="00FA4A23" w:rsidRPr="009B7C06">
        <w:rPr>
          <w:rFonts w:ascii="Arial" w:hAnsi="Arial" w:cs="Arial"/>
          <w:color w:val="000000"/>
          <w:sz w:val="22"/>
          <w:szCs w:val="22"/>
        </w:rPr>
        <w:t>ha</w:t>
      </w:r>
      <w:r w:rsidRPr="009B7C06">
        <w:rPr>
          <w:rFonts w:ascii="Arial" w:hAnsi="Arial" w:cs="Arial"/>
          <w:color w:val="000000"/>
          <w:sz w:val="22"/>
          <w:szCs w:val="22"/>
        </w:rPr>
        <w:t xml:space="preserve">s </w:t>
      </w:r>
      <w:r w:rsidR="00FA4A23" w:rsidRPr="009B7C06">
        <w:rPr>
          <w:rFonts w:ascii="Arial" w:hAnsi="Arial" w:cs="Arial"/>
          <w:color w:val="000000"/>
          <w:sz w:val="22"/>
          <w:szCs w:val="22"/>
        </w:rPr>
        <w:t xml:space="preserve">been </w:t>
      </w:r>
      <w:r w:rsidRPr="009B7C06">
        <w:rPr>
          <w:rFonts w:ascii="Arial" w:hAnsi="Arial" w:cs="Arial"/>
          <w:color w:val="000000"/>
          <w:sz w:val="22"/>
          <w:szCs w:val="22"/>
        </w:rPr>
        <w:t>published quarterly</w:t>
      </w:r>
      <w:r w:rsidR="00FA4A23" w:rsidRPr="009B7C06">
        <w:rPr>
          <w:rFonts w:ascii="Arial" w:hAnsi="Arial" w:cs="Arial"/>
          <w:color w:val="000000"/>
          <w:sz w:val="22"/>
          <w:szCs w:val="22"/>
        </w:rPr>
        <w:t xml:space="preserve"> since September 2012, and was rebased in </w:t>
      </w:r>
      <w:r w:rsidR="000C777D">
        <w:rPr>
          <w:rFonts w:ascii="Arial" w:hAnsi="Arial" w:cs="Arial"/>
          <w:color w:val="000000"/>
          <w:sz w:val="22"/>
          <w:szCs w:val="22"/>
        </w:rPr>
        <w:t xml:space="preserve">the </w:t>
      </w:r>
      <w:r w:rsidR="00FA4A23" w:rsidRPr="009B7C06">
        <w:rPr>
          <w:rFonts w:ascii="Arial" w:hAnsi="Arial" w:cs="Arial"/>
          <w:color w:val="000000"/>
          <w:sz w:val="22"/>
          <w:szCs w:val="22"/>
        </w:rPr>
        <w:t>March 2017</w:t>
      </w:r>
      <w:r w:rsidR="00A87628" w:rsidRPr="009B7C06">
        <w:rPr>
          <w:rFonts w:ascii="Arial" w:hAnsi="Arial" w:cs="Arial"/>
          <w:color w:val="000000"/>
          <w:sz w:val="22"/>
          <w:szCs w:val="22"/>
        </w:rPr>
        <w:t xml:space="preserve"> quarter (=100</w:t>
      </w:r>
      <w:r w:rsidR="000C777D">
        <w:rPr>
          <w:rFonts w:ascii="Arial" w:hAnsi="Arial" w:cs="Arial"/>
          <w:color w:val="000000"/>
          <w:sz w:val="22"/>
          <w:szCs w:val="22"/>
        </w:rPr>
        <w:t>.</w:t>
      </w:r>
      <w:r w:rsidR="00A87628" w:rsidRPr="009B7C06">
        <w:rPr>
          <w:rFonts w:ascii="Arial" w:hAnsi="Arial" w:cs="Arial"/>
          <w:color w:val="000000"/>
          <w:sz w:val="22"/>
          <w:szCs w:val="22"/>
        </w:rPr>
        <w:t>0)</w:t>
      </w:r>
      <w:r w:rsidR="003F38EC" w:rsidRPr="009B7C06">
        <w:rPr>
          <w:rFonts w:ascii="Arial" w:hAnsi="Arial" w:cs="Arial"/>
          <w:color w:val="000000"/>
          <w:sz w:val="22"/>
          <w:szCs w:val="22"/>
        </w:rPr>
        <w:t>.</w:t>
      </w:r>
    </w:p>
    <w:p w14:paraId="56BAB78C" w14:textId="0FE426E5" w:rsidR="006C377E" w:rsidRPr="009B7C06" w:rsidRDefault="00B2056C" w:rsidP="00D27C39">
      <w:pPr>
        <w:rPr>
          <w:rFonts w:ascii="Arial" w:hAnsi="Arial" w:cs="Arial"/>
          <w:color w:val="000000"/>
          <w:sz w:val="22"/>
          <w:szCs w:val="22"/>
        </w:rPr>
      </w:pPr>
      <w:r w:rsidRPr="009B7C06">
        <w:rPr>
          <w:rFonts w:ascii="Arial" w:hAnsi="Arial" w:cs="Arial"/>
          <w:color w:val="000000"/>
          <w:sz w:val="22"/>
          <w:szCs w:val="22"/>
        </w:rPr>
        <w:t>An updated listing of the representative goods and services monitored in the CPI basket, and the sources and methods used to compile various parts of the CPI, are available in the “Technical notes: Consumer Price Index” (October 2017 version)</w:t>
      </w:r>
      <w:r w:rsidR="00372A93" w:rsidRPr="009B7C06">
        <w:rPr>
          <w:rFonts w:ascii="Arial" w:hAnsi="Arial" w:cs="Arial"/>
          <w:color w:val="000000"/>
          <w:sz w:val="22"/>
          <w:szCs w:val="22"/>
        </w:rPr>
        <w:t xml:space="preserve"> at www.tokelau.org.nz/Stats.html</w:t>
      </w:r>
      <w:r w:rsidRPr="009B7C06">
        <w:rPr>
          <w:rFonts w:ascii="Arial" w:hAnsi="Arial" w:cs="Arial"/>
          <w:color w:val="000000"/>
          <w:sz w:val="22"/>
          <w:szCs w:val="22"/>
        </w:rPr>
        <w:t>.</w:t>
      </w:r>
    </w:p>
    <w:p w14:paraId="542062BB" w14:textId="5C3779D9" w:rsidR="006C377E" w:rsidRPr="009B7C06" w:rsidRDefault="006C377E" w:rsidP="000C23CB">
      <w:pPr>
        <w:spacing w:after="0"/>
        <w:rPr>
          <w:rFonts w:ascii="Arial" w:hAnsi="Arial" w:cs="Arial"/>
          <w:b/>
          <w:sz w:val="26"/>
          <w:szCs w:val="26"/>
        </w:rPr>
      </w:pPr>
      <w:r w:rsidRPr="009B7C06">
        <w:rPr>
          <w:rFonts w:ascii="Arial" w:hAnsi="Arial" w:cs="Arial"/>
          <w:b/>
          <w:sz w:val="26"/>
          <w:szCs w:val="26"/>
        </w:rPr>
        <w:t>More definitions</w:t>
      </w:r>
    </w:p>
    <w:p w14:paraId="797876D9" w14:textId="77777777" w:rsidR="006C377E" w:rsidRPr="009B7C06" w:rsidRDefault="006C377E" w:rsidP="00E15634">
      <w:pPr>
        <w:rPr>
          <w:rFonts w:ascii="Arial" w:hAnsi="Arial" w:cs="Arial"/>
          <w:color w:val="000000"/>
          <w:sz w:val="22"/>
          <w:szCs w:val="22"/>
        </w:rPr>
      </w:pPr>
      <w:r w:rsidRPr="009B7C06">
        <w:rPr>
          <w:rFonts w:ascii="Arial" w:hAnsi="Arial" w:cs="Arial"/>
          <w:color w:val="000000"/>
          <w:sz w:val="22"/>
          <w:szCs w:val="22"/>
        </w:rPr>
        <w:t xml:space="preserve">A </w:t>
      </w:r>
      <w:r w:rsidRPr="009B7C06">
        <w:rPr>
          <w:rFonts w:ascii="Arial" w:hAnsi="Arial" w:cs="Arial"/>
          <w:b/>
          <w:color w:val="000000"/>
          <w:sz w:val="22"/>
          <w:szCs w:val="22"/>
        </w:rPr>
        <w:t>price index</w:t>
      </w:r>
      <w:r w:rsidRPr="009B7C06">
        <w:rPr>
          <w:rFonts w:ascii="Arial" w:hAnsi="Arial" w:cs="Arial"/>
          <w:color w:val="000000"/>
          <w:sz w:val="22"/>
          <w:szCs w:val="22"/>
        </w:rPr>
        <w:t xml:space="preserve"> measures the change in price between time periods for a given set of goods and services. It summarises a set of prices for a variety of goods and services collected from a number of outlets.</w:t>
      </w:r>
    </w:p>
    <w:p w14:paraId="1D7457A6" w14:textId="2530A376" w:rsidR="006C377E" w:rsidRPr="009B7C06" w:rsidRDefault="006C377E" w:rsidP="00E15634">
      <w:pPr>
        <w:rPr>
          <w:rFonts w:ascii="Arial" w:hAnsi="Arial" w:cs="Arial"/>
          <w:color w:val="000000"/>
          <w:sz w:val="22"/>
          <w:szCs w:val="22"/>
        </w:rPr>
      </w:pPr>
      <w:r w:rsidRPr="009B7C06">
        <w:rPr>
          <w:rFonts w:ascii="Arial" w:hAnsi="Arial" w:cs="Arial"/>
          <w:color w:val="000000"/>
          <w:sz w:val="22"/>
          <w:szCs w:val="22"/>
        </w:rPr>
        <w:t xml:space="preserve">The </w:t>
      </w:r>
      <w:r w:rsidRPr="009B7C06">
        <w:rPr>
          <w:rFonts w:ascii="Arial" w:hAnsi="Arial" w:cs="Arial"/>
          <w:b/>
          <w:color w:val="000000"/>
          <w:sz w:val="22"/>
          <w:szCs w:val="22"/>
        </w:rPr>
        <w:t>index reference</w:t>
      </w:r>
      <w:r w:rsidRPr="009B7C06">
        <w:rPr>
          <w:rFonts w:ascii="Arial" w:hAnsi="Arial" w:cs="Arial"/>
          <w:color w:val="000000"/>
          <w:sz w:val="22"/>
          <w:szCs w:val="22"/>
        </w:rPr>
        <w:t xml:space="preserve"> period is the benchmark to which prices in other periods are compared (eg if the index number in a later period is 1</w:t>
      </w:r>
      <w:r w:rsidR="00FA4A23" w:rsidRPr="009B7C06">
        <w:rPr>
          <w:rFonts w:ascii="Arial" w:hAnsi="Arial" w:cs="Arial"/>
          <w:color w:val="000000"/>
          <w:sz w:val="22"/>
          <w:szCs w:val="22"/>
        </w:rPr>
        <w:t>1</w:t>
      </w:r>
      <w:r w:rsidRPr="009B7C06">
        <w:rPr>
          <w:rFonts w:ascii="Arial" w:hAnsi="Arial" w:cs="Arial"/>
          <w:color w:val="000000"/>
          <w:sz w:val="22"/>
          <w:szCs w:val="22"/>
        </w:rPr>
        <w:t>5</w:t>
      </w:r>
      <w:r w:rsidR="00FD7238">
        <w:rPr>
          <w:rFonts w:ascii="Arial" w:hAnsi="Arial" w:cs="Arial"/>
          <w:color w:val="000000"/>
          <w:sz w:val="22"/>
          <w:szCs w:val="22"/>
        </w:rPr>
        <w:t>.0</w:t>
      </w:r>
      <w:r w:rsidRPr="009B7C06">
        <w:rPr>
          <w:rFonts w:ascii="Arial" w:hAnsi="Arial" w:cs="Arial"/>
          <w:color w:val="000000"/>
          <w:sz w:val="22"/>
          <w:szCs w:val="22"/>
        </w:rPr>
        <w:t xml:space="preserve">, prices have increased by </w:t>
      </w:r>
      <w:r w:rsidR="00FA4A23" w:rsidRPr="009B7C06">
        <w:rPr>
          <w:rFonts w:ascii="Arial" w:hAnsi="Arial" w:cs="Arial"/>
          <w:color w:val="000000"/>
          <w:sz w:val="22"/>
          <w:szCs w:val="22"/>
        </w:rPr>
        <w:t>1</w:t>
      </w:r>
      <w:r w:rsidRPr="009B7C06">
        <w:rPr>
          <w:rFonts w:ascii="Arial" w:hAnsi="Arial" w:cs="Arial"/>
          <w:color w:val="000000"/>
          <w:sz w:val="22"/>
          <w:szCs w:val="22"/>
        </w:rPr>
        <w:t>5</w:t>
      </w:r>
      <w:r w:rsidR="00FD7238">
        <w:rPr>
          <w:rFonts w:ascii="Arial" w:hAnsi="Arial" w:cs="Arial"/>
          <w:color w:val="000000"/>
          <w:sz w:val="22"/>
          <w:szCs w:val="22"/>
        </w:rPr>
        <w:t>.0</w:t>
      </w:r>
      <w:bookmarkStart w:id="28" w:name="_GoBack"/>
      <w:bookmarkEnd w:id="28"/>
      <w:r w:rsidRPr="009B7C06">
        <w:rPr>
          <w:rFonts w:ascii="Arial" w:hAnsi="Arial" w:cs="Arial"/>
          <w:color w:val="000000"/>
          <w:sz w:val="22"/>
          <w:szCs w:val="22"/>
        </w:rPr>
        <w:t xml:space="preserve"> percent since the index reference period).</w:t>
      </w:r>
    </w:p>
    <w:p w14:paraId="135335AD" w14:textId="01198435" w:rsidR="006C377E" w:rsidRPr="009B7C06" w:rsidRDefault="006C377E" w:rsidP="00E15634">
      <w:pPr>
        <w:rPr>
          <w:rFonts w:ascii="Arial" w:hAnsi="Arial" w:cs="Arial"/>
          <w:color w:val="000000"/>
          <w:sz w:val="22"/>
          <w:szCs w:val="22"/>
        </w:rPr>
      </w:pPr>
      <w:r w:rsidRPr="009B7C06">
        <w:rPr>
          <w:rFonts w:ascii="Arial" w:hAnsi="Arial" w:cs="Arial"/>
          <w:b/>
          <w:color w:val="000000"/>
          <w:sz w:val="22"/>
          <w:szCs w:val="22"/>
        </w:rPr>
        <w:t xml:space="preserve">Upward/downward contributions: </w:t>
      </w:r>
      <w:r w:rsidR="00B2056C" w:rsidRPr="009B7C06">
        <w:rPr>
          <w:rFonts w:ascii="Arial" w:hAnsi="Arial" w:cs="Arial"/>
          <w:color w:val="000000"/>
          <w:sz w:val="22"/>
          <w:szCs w:val="22"/>
        </w:rPr>
        <w:t xml:space="preserve"> Items mentioned in this release are often those that made a large contribution to the overall movement in the CPI. An item's contribution is a combination of its weight in the index (its relative importance, based on its share of household spending on goods and services covered by the CPI) and the magnitude of price movement. If two items record the same percentage rise in price, then the item with the larger CPI weighting will make a larger contribution to the overall movement. This contribution is also referred to as points (or index points) contribution.</w:t>
      </w:r>
    </w:p>
    <w:p w14:paraId="7A80434C" w14:textId="4F27E55D" w:rsidR="006C5F23" w:rsidRPr="009B7C06" w:rsidRDefault="006C5F23" w:rsidP="006C5F23">
      <w:pPr>
        <w:rPr>
          <w:rFonts w:ascii="Arial" w:hAnsi="Arial" w:cs="Arial"/>
          <w:b/>
          <w:bCs/>
          <w:color w:val="000000"/>
          <w:sz w:val="26"/>
          <w:szCs w:val="26"/>
        </w:rPr>
      </w:pPr>
      <w:r w:rsidRPr="009B7C06">
        <w:rPr>
          <w:rFonts w:ascii="Arial" w:hAnsi="Arial" w:cs="Arial"/>
          <w:b/>
          <w:bCs/>
          <w:color w:val="000000"/>
          <w:sz w:val="26"/>
          <w:szCs w:val="26"/>
        </w:rPr>
        <w:t>Reference period</w:t>
      </w:r>
      <w:r w:rsidR="008C274A" w:rsidRPr="009B7C06">
        <w:rPr>
          <w:rFonts w:ascii="Arial" w:hAnsi="Arial" w:cs="Arial"/>
          <w:b/>
          <w:bCs/>
          <w:color w:val="000000"/>
          <w:sz w:val="26"/>
          <w:szCs w:val="26"/>
        </w:rPr>
        <w:t xml:space="preserve"> and data quality</w:t>
      </w:r>
    </w:p>
    <w:p w14:paraId="25A2C4A1" w14:textId="4F1D03AB" w:rsidR="006C5F23" w:rsidRPr="009B7C06" w:rsidRDefault="006C5F23" w:rsidP="006C5F23">
      <w:pPr>
        <w:rPr>
          <w:rFonts w:ascii="Arial" w:hAnsi="Arial" w:cs="Arial"/>
          <w:color w:val="000000"/>
          <w:sz w:val="22"/>
          <w:szCs w:val="22"/>
        </w:rPr>
      </w:pPr>
      <w:r w:rsidRPr="009B7C06">
        <w:rPr>
          <w:rFonts w:ascii="Arial" w:hAnsi="Arial" w:cs="Arial"/>
          <w:color w:val="000000"/>
          <w:sz w:val="22"/>
          <w:szCs w:val="22"/>
        </w:rPr>
        <w:t xml:space="preserve">Prices for the </w:t>
      </w:r>
      <w:r w:rsidR="000C777D">
        <w:rPr>
          <w:rFonts w:ascii="Arial" w:hAnsi="Arial" w:cs="Arial"/>
          <w:color w:val="000000"/>
          <w:sz w:val="22"/>
          <w:szCs w:val="22"/>
        </w:rPr>
        <w:t>September</w:t>
      </w:r>
      <w:r w:rsidR="000C777D" w:rsidRPr="009B7C06">
        <w:rPr>
          <w:rFonts w:ascii="Arial" w:hAnsi="Arial" w:cs="Arial"/>
          <w:color w:val="000000"/>
          <w:sz w:val="22"/>
          <w:szCs w:val="22"/>
        </w:rPr>
        <w:t xml:space="preserve"> </w:t>
      </w:r>
      <w:r w:rsidR="006F2FE7" w:rsidRPr="009B7C06">
        <w:rPr>
          <w:rFonts w:ascii="Arial" w:hAnsi="Arial" w:cs="Arial"/>
          <w:color w:val="000000"/>
          <w:sz w:val="22"/>
          <w:szCs w:val="22"/>
        </w:rPr>
        <w:t>2018</w:t>
      </w:r>
      <w:r w:rsidRPr="009B7C06">
        <w:rPr>
          <w:rFonts w:ascii="Arial" w:hAnsi="Arial" w:cs="Arial"/>
          <w:color w:val="000000"/>
          <w:sz w:val="22"/>
          <w:szCs w:val="22"/>
        </w:rPr>
        <w:t xml:space="preserve"> quarter were collected </w:t>
      </w:r>
      <w:r w:rsidR="008C274A" w:rsidRPr="009B7C06">
        <w:rPr>
          <w:rFonts w:ascii="Arial" w:hAnsi="Arial" w:cs="Arial"/>
          <w:color w:val="000000"/>
          <w:sz w:val="22"/>
          <w:szCs w:val="22"/>
        </w:rPr>
        <w:t>between</w:t>
      </w:r>
      <w:r w:rsidR="00B2056C" w:rsidRPr="009B7C06">
        <w:rPr>
          <w:rFonts w:ascii="Arial" w:hAnsi="Arial" w:cs="Arial"/>
          <w:color w:val="000000"/>
          <w:sz w:val="22"/>
          <w:szCs w:val="22"/>
        </w:rPr>
        <w:t xml:space="preserve"> </w:t>
      </w:r>
      <w:r w:rsidR="004A6F9A">
        <w:rPr>
          <w:rFonts w:ascii="Arial" w:hAnsi="Arial" w:cs="Arial"/>
          <w:color w:val="000000"/>
          <w:sz w:val="22"/>
          <w:szCs w:val="22"/>
        </w:rPr>
        <w:t>15</w:t>
      </w:r>
      <w:r w:rsidR="000C777D">
        <w:rPr>
          <w:rFonts w:ascii="Arial" w:hAnsi="Arial" w:cs="Arial"/>
          <w:color w:val="000000"/>
          <w:sz w:val="22"/>
          <w:szCs w:val="22"/>
        </w:rPr>
        <w:t xml:space="preserve"> August</w:t>
      </w:r>
      <w:r w:rsidR="00372A93" w:rsidRPr="009B7C06">
        <w:rPr>
          <w:rFonts w:ascii="Arial" w:hAnsi="Arial" w:cs="Arial"/>
          <w:color w:val="000000"/>
          <w:sz w:val="22"/>
          <w:szCs w:val="22"/>
        </w:rPr>
        <w:t xml:space="preserve"> </w:t>
      </w:r>
      <w:r w:rsidR="004A6F9A">
        <w:rPr>
          <w:rFonts w:ascii="Arial" w:hAnsi="Arial" w:cs="Arial"/>
          <w:color w:val="000000"/>
          <w:sz w:val="22"/>
          <w:szCs w:val="22"/>
        </w:rPr>
        <w:t xml:space="preserve">and 12 September </w:t>
      </w:r>
      <w:r w:rsidR="00372A93" w:rsidRPr="009B7C06">
        <w:rPr>
          <w:rFonts w:ascii="Arial" w:hAnsi="Arial" w:cs="Arial"/>
          <w:color w:val="000000"/>
          <w:sz w:val="22"/>
          <w:szCs w:val="22"/>
        </w:rPr>
        <w:t>2018</w:t>
      </w:r>
      <w:r w:rsidRPr="009B7C06">
        <w:rPr>
          <w:rFonts w:ascii="Arial" w:hAnsi="Arial" w:cs="Arial"/>
          <w:color w:val="000000"/>
          <w:sz w:val="22"/>
          <w:szCs w:val="22"/>
        </w:rPr>
        <w:t>, by staff working for the nuku administrative centres</w:t>
      </w:r>
      <w:r w:rsidR="00A86469" w:rsidRPr="009B7C06">
        <w:rPr>
          <w:rFonts w:ascii="Arial" w:hAnsi="Arial" w:cs="Arial"/>
          <w:color w:val="000000"/>
          <w:sz w:val="22"/>
          <w:szCs w:val="22"/>
        </w:rPr>
        <w:t xml:space="preserve">, </w:t>
      </w:r>
      <w:r w:rsidR="00B2056C" w:rsidRPr="009B7C06">
        <w:rPr>
          <w:rFonts w:ascii="Arial" w:hAnsi="Arial" w:cs="Arial"/>
          <w:color w:val="000000"/>
          <w:sz w:val="22"/>
          <w:szCs w:val="22"/>
        </w:rPr>
        <w:t>as well as TNSO staff in Apia.</w:t>
      </w:r>
      <w:r w:rsidR="00D832A2">
        <w:rPr>
          <w:rFonts w:ascii="Arial" w:hAnsi="Arial" w:cs="Arial"/>
          <w:color w:val="000000"/>
          <w:sz w:val="22"/>
          <w:szCs w:val="22"/>
        </w:rPr>
        <w:t xml:space="preserve"> </w:t>
      </w:r>
      <w:r w:rsidR="000C777D">
        <w:rPr>
          <w:rFonts w:ascii="Arial" w:hAnsi="Arial" w:cs="Arial"/>
          <w:color w:val="000000"/>
          <w:sz w:val="22"/>
          <w:szCs w:val="22"/>
        </w:rPr>
        <w:t>Fewer</w:t>
      </w:r>
      <w:r w:rsidR="00C855CB" w:rsidRPr="009B7C06">
        <w:rPr>
          <w:rFonts w:ascii="Arial" w:hAnsi="Arial" w:cs="Arial"/>
          <w:color w:val="000000"/>
          <w:sz w:val="22"/>
          <w:szCs w:val="22"/>
        </w:rPr>
        <w:t xml:space="preserve"> </w:t>
      </w:r>
      <w:r w:rsidR="00937AE6">
        <w:rPr>
          <w:rFonts w:ascii="Arial" w:hAnsi="Arial" w:cs="Arial"/>
          <w:color w:val="000000"/>
          <w:sz w:val="22"/>
          <w:szCs w:val="22"/>
        </w:rPr>
        <w:t xml:space="preserve">items were out of stock so fewer </w:t>
      </w:r>
      <w:r w:rsidR="00C855CB" w:rsidRPr="009B7C06">
        <w:rPr>
          <w:rFonts w:ascii="Arial" w:hAnsi="Arial" w:cs="Arial"/>
          <w:color w:val="000000"/>
          <w:sz w:val="22"/>
          <w:szCs w:val="22"/>
        </w:rPr>
        <w:t>prices had to be imputed</w:t>
      </w:r>
      <w:r w:rsidR="006B2F3F">
        <w:rPr>
          <w:rFonts w:ascii="Arial" w:hAnsi="Arial" w:cs="Arial"/>
          <w:color w:val="000000"/>
          <w:sz w:val="22"/>
          <w:szCs w:val="22"/>
        </w:rPr>
        <w:t>, which</w:t>
      </w:r>
      <w:r w:rsidR="00C855CB" w:rsidRPr="009B7C06">
        <w:rPr>
          <w:rFonts w:ascii="Arial" w:hAnsi="Arial" w:cs="Arial"/>
          <w:color w:val="000000"/>
          <w:sz w:val="22"/>
          <w:szCs w:val="22"/>
        </w:rPr>
        <w:t xml:space="preserve"> may partly explain the relatively </w:t>
      </w:r>
      <w:r w:rsidR="000C777D">
        <w:rPr>
          <w:rFonts w:ascii="Arial" w:hAnsi="Arial" w:cs="Arial"/>
          <w:color w:val="000000"/>
          <w:sz w:val="22"/>
          <w:szCs w:val="22"/>
        </w:rPr>
        <w:t xml:space="preserve">steep </w:t>
      </w:r>
      <w:r w:rsidR="00C855CB" w:rsidRPr="009B7C06">
        <w:rPr>
          <w:rFonts w:ascii="Arial" w:hAnsi="Arial" w:cs="Arial"/>
          <w:color w:val="000000"/>
          <w:sz w:val="22"/>
          <w:szCs w:val="22"/>
        </w:rPr>
        <w:t>CPI this quarter</w:t>
      </w:r>
      <w:r w:rsidR="000C777D">
        <w:rPr>
          <w:rFonts w:ascii="Arial" w:hAnsi="Arial" w:cs="Arial"/>
          <w:color w:val="000000"/>
          <w:sz w:val="22"/>
          <w:szCs w:val="22"/>
        </w:rPr>
        <w:t xml:space="preserve"> (which may have been cumulative for imputed items)</w:t>
      </w:r>
      <w:r w:rsidR="00C855CB" w:rsidRPr="009B7C06">
        <w:rPr>
          <w:rFonts w:ascii="Arial" w:hAnsi="Arial" w:cs="Arial"/>
          <w:color w:val="000000"/>
          <w:sz w:val="22"/>
          <w:szCs w:val="22"/>
        </w:rPr>
        <w:t>.</w:t>
      </w:r>
    </w:p>
    <w:p w14:paraId="5EAF9971" w14:textId="31B2F4C3" w:rsidR="006C377E" w:rsidRPr="009B7C06" w:rsidRDefault="004F770B" w:rsidP="000C23CB">
      <w:pPr>
        <w:spacing w:after="0"/>
        <w:rPr>
          <w:rFonts w:ascii="Arial" w:hAnsi="Arial" w:cs="Arial"/>
          <w:b/>
          <w:color w:val="000000"/>
          <w:sz w:val="26"/>
          <w:szCs w:val="26"/>
        </w:rPr>
      </w:pPr>
      <w:r w:rsidRPr="009B7C06">
        <w:rPr>
          <w:rFonts w:ascii="Arial" w:hAnsi="Arial" w:cs="Arial"/>
          <w:b/>
          <w:color w:val="000000"/>
          <w:sz w:val="26"/>
          <w:szCs w:val="26"/>
        </w:rPr>
        <w:t>Price</w:t>
      </w:r>
      <w:r w:rsidR="006C377E" w:rsidRPr="009B7C06">
        <w:rPr>
          <w:rFonts w:ascii="Arial" w:hAnsi="Arial" w:cs="Arial"/>
          <w:b/>
          <w:color w:val="000000"/>
          <w:sz w:val="26"/>
          <w:szCs w:val="26"/>
        </w:rPr>
        <w:t xml:space="preserve"> influencers</w:t>
      </w:r>
    </w:p>
    <w:p w14:paraId="119E7831" w14:textId="74FD5514" w:rsidR="006C377E" w:rsidRPr="009B7C06" w:rsidRDefault="006C377E" w:rsidP="00E15634">
      <w:pPr>
        <w:rPr>
          <w:rFonts w:ascii="Arial" w:hAnsi="Arial" w:cs="Arial"/>
          <w:color w:val="000000"/>
          <w:sz w:val="22"/>
          <w:szCs w:val="22"/>
        </w:rPr>
      </w:pPr>
      <w:r w:rsidRPr="009B7C06">
        <w:rPr>
          <w:rFonts w:ascii="Arial" w:hAnsi="Arial" w:cs="Arial"/>
          <w:color w:val="000000"/>
          <w:sz w:val="22"/>
          <w:szCs w:val="22"/>
        </w:rPr>
        <w:t>Price changes may be influenced by external events. Factors that affected the</w:t>
      </w:r>
      <w:r w:rsidR="00340460" w:rsidRPr="009B7C06">
        <w:rPr>
          <w:rFonts w:ascii="Arial" w:hAnsi="Arial" w:cs="Arial"/>
          <w:color w:val="000000"/>
          <w:sz w:val="22"/>
          <w:szCs w:val="22"/>
        </w:rPr>
        <w:t xml:space="preserve"> </w:t>
      </w:r>
      <w:r w:rsidR="00903A11" w:rsidRPr="009B7C06">
        <w:rPr>
          <w:rFonts w:ascii="Arial" w:hAnsi="Arial" w:cs="Arial"/>
          <w:color w:val="000000"/>
          <w:sz w:val="22"/>
          <w:szCs w:val="22"/>
        </w:rPr>
        <w:t xml:space="preserve">quarterly and the annual </w:t>
      </w:r>
      <w:r w:rsidR="000C777D">
        <w:rPr>
          <w:rFonts w:ascii="Arial" w:hAnsi="Arial" w:cs="Arial"/>
          <w:color w:val="000000"/>
          <w:sz w:val="22"/>
          <w:szCs w:val="22"/>
        </w:rPr>
        <w:t>September</w:t>
      </w:r>
      <w:r w:rsidR="000C777D" w:rsidRPr="009B7C06">
        <w:rPr>
          <w:rFonts w:ascii="Arial" w:hAnsi="Arial" w:cs="Arial"/>
          <w:color w:val="000000"/>
          <w:sz w:val="22"/>
          <w:szCs w:val="22"/>
        </w:rPr>
        <w:t xml:space="preserve"> </w:t>
      </w:r>
      <w:r w:rsidR="00372A93" w:rsidRPr="009B7C06">
        <w:rPr>
          <w:rFonts w:ascii="Arial" w:hAnsi="Arial" w:cs="Arial"/>
          <w:color w:val="000000"/>
          <w:sz w:val="22"/>
          <w:szCs w:val="22"/>
        </w:rPr>
        <w:t>2018</w:t>
      </w:r>
      <w:r w:rsidRPr="009B7C06">
        <w:rPr>
          <w:rFonts w:ascii="Arial" w:hAnsi="Arial" w:cs="Arial"/>
          <w:color w:val="000000"/>
          <w:sz w:val="22"/>
          <w:szCs w:val="22"/>
        </w:rPr>
        <w:t xml:space="preserve"> CPI include:</w:t>
      </w:r>
    </w:p>
    <w:p w14:paraId="4A24C883" w14:textId="574C5406" w:rsidR="006C377E" w:rsidRPr="009B7C06" w:rsidRDefault="006C377E" w:rsidP="00EF1339">
      <w:pPr>
        <w:pStyle w:val="ListParagraph"/>
        <w:numPr>
          <w:ilvl w:val="0"/>
          <w:numId w:val="9"/>
        </w:numPr>
        <w:rPr>
          <w:rFonts w:ascii="Arial" w:hAnsi="Arial" w:cs="Arial"/>
          <w:color w:val="000000"/>
          <w:sz w:val="22"/>
          <w:szCs w:val="22"/>
          <w:lang w:val="en-GB"/>
        </w:rPr>
      </w:pPr>
      <w:r w:rsidRPr="009B7C06">
        <w:rPr>
          <w:rFonts w:ascii="Arial" w:hAnsi="Arial" w:cs="Arial"/>
          <w:color w:val="000000"/>
          <w:sz w:val="22"/>
          <w:szCs w:val="22"/>
          <w:lang w:val="en-GB"/>
        </w:rPr>
        <w:t>Tokelau uses the New Zealand dollar as its currency</w:t>
      </w:r>
      <w:r w:rsidR="004A6F9A">
        <w:rPr>
          <w:rFonts w:ascii="Arial" w:hAnsi="Arial" w:cs="Arial"/>
          <w:color w:val="000000"/>
          <w:sz w:val="22"/>
          <w:szCs w:val="22"/>
          <w:lang w:val="en-GB"/>
        </w:rPr>
        <w:t>,</w:t>
      </w:r>
      <w:r w:rsidRPr="009B7C06">
        <w:rPr>
          <w:rFonts w:ascii="Arial" w:hAnsi="Arial" w:cs="Arial"/>
          <w:color w:val="000000"/>
          <w:sz w:val="22"/>
          <w:szCs w:val="22"/>
          <w:lang w:val="en-GB"/>
        </w:rPr>
        <w:t xml:space="preserve"> </w:t>
      </w:r>
      <w:r w:rsidR="00F90769" w:rsidRPr="009B7C06">
        <w:rPr>
          <w:rFonts w:ascii="Arial" w:hAnsi="Arial" w:cs="Arial"/>
          <w:color w:val="000000"/>
          <w:sz w:val="22"/>
          <w:szCs w:val="22"/>
          <w:lang w:val="en-GB"/>
        </w:rPr>
        <w:t xml:space="preserve">so </w:t>
      </w:r>
      <w:r w:rsidR="00DD5868">
        <w:rPr>
          <w:rFonts w:ascii="Arial" w:hAnsi="Arial" w:cs="Arial"/>
          <w:color w:val="000000"/>
          <w:sz w:val="22"/>
          <w:szCs w:val="22"/>
          <w:lang w:val="en-GB"/>
        </w:rPr>
        <w:t xml:space="preserve">major </w:t>
      </w:r>
      <w:r w:rsidRPr="009B7C06">
        <w:rPr>
          <w:rFonts w:ascii="Arial" w:hAnsi="Arial" w:cs="Arial"/>
          <w:color w:val="000000"/>
          <w:sz w:val="22"/>
          <w:szCs w:val="22"/>
          <w:lang w:val="en-GB"/>
        </w:rPr>
        <w:t>changes in the strength of the New Zealand dollar over the Samoa</w:t>
      </w:r>
      <w:r w:rsidR="00F90769" w:rsidRPr="009B7C06">
        <w:rPr>
          <w:rFonts w:ascii="Arial" w:hAnsi="Arial" w:cs="Arial"/>
          <w:color w:val="000000"/>
          <w:sz w:val="22"/>
          <w:szCs w:val="22"/>
          <w:lang w:val="en-GB"/>
        </w:rPr>
        <w:t>n</w:t>
      </w:r>
      <w:r w:rsidRPr="009B7C06">
        <w:rPr>
          <w:rFonts w:ascii="Arial" w:hAnsi="Arial" w:cs="Arial"/>
          <w:color w:val="000000"/>
          <w:sz w:val="22"/>
          <w:szCs w:val="22"/>
          <w:lang w:val="en-GB"/>
        </w:rPr>
        <w:t xml:space="preserve"> </w:t>
      </w:r>
      <w:r w:rsidR="00F90769" w:rsidRPr="009B7C06">
        <w:rPr>
          <w:rFonts w:ascii="Arial" w:hAnsi="Arial" w:cs="Arial"/>
          <w:color w:val="000000"/>
          <w:sz w:val="22"/>
          <w:szCs w:val="22"/>
          <w:lang w:val="en-GB"/>
        </w:rPr>
        <w:t>t</w:t>
      </w:r>
      <w:r w:rsidRPr="009B7C06">
        <w:rPr>
          <w:rFonts w:ascii="Arial" w:hAnsi="Arial" w:cs="Arial"/>
          <w:color w:val="000000"/>
          <w:sz w:val="22"/>
          <w:szCs w:val="22"/>
          <w:lang w:val="en-GB"/>
        </w:rPr>
        <w:t>ala can change Tokelau’s buying power in Samoa.</w:t>
      </w:r>
      <w:r w:rsidR="00DD5868">
        <w:rPr>
          <w:rFonts w:ascii="Arial" w:hAnsi="Arial" w:cs="Arial"/>
          <w:color w:val="000000"/>
          <w:sz w:val="22"/>
          <w:szCs w:val="22"/>
          <w:lang w:val="en-GB"/>
        </w:rPr>
        <w:t>, The Tokelau Department of Finance tends to fix its exchange rate for the calendar year (currently WST/NZD=1.</w:t>
      </w:r>
      <w:r w:rsidR="00FD7238">
        <w:rPr>
          <w:rFonts w:ascii="Arial" w:hAnsi="Arial" w:cs="Arial"/>
          <w:color w:val="000000"/>
          <w:sz w:val="22"/>
          <w:szCs w:val="22"/>
          <w:lang w:val="en-GB"/>
        </w:rPr>
        <w:t>75</w:t>
      </w:r>
      <w:r w:rsidR="00DD5868">
        <w:rPr>
          <w:rFonts w:ascii="Arial" w:hAnsi="Arial" w:cs="Arial"/>
          <w:color w:val="000000"/>
          <w:sz w:val="22"/>
          <w:szCs w:val="22"/>
          <w:lang w:val="en-GB"/>
        </w:rPr>
        <w:t>), taking out some of the volatility</w:t>
      </w:r>
      <w:r w:rsidRPr="009B7C06">
        <w:rPr>
          <w:rFonts w:ascii="Arial" w:hAnsi="Arial" w:cs="Arial"/>
          <w:color w:val="000000"/>
          <w:sz w:val="22"/>
          <w:szCs w:val="22"/>
          <w:lang w:val="en-GB"/>
        </w:rPr>
        <w:t>.</w:t>
      </w:r>
    </w:p>
    <w:p w14:paraId="002D283A" w14:textId="7451CAF1" w:rsidR="006C377E" w:rsidRPr="009B7C06" w:rsidRDefault="00BA10A4" w:rsidP="007A1815">
      <w:pPr>
        <w:pStyle w:val="ListParagraph"/>
        <w:numPr>
          <w:ilvl w:val="0"/>
          <w:numId w:val="9"/>
        </w:numPr>
        <w:rPr>
          <w:rFonts w:ascii="Arial" w:hAnsi="Arial" w:cs="Arial"/>
          <w:color w:val="000000"/>
          <w:sz w:val="22"/>
          <w:szCs w:val="22"/>
        </w:rPr>
      </w:pPr>
      <w:r w:rsidRPr="009B7C06">
        <w:rPr>
          <w:rFonts w:ascii="Arial" w:hAnsi="Arial" w:cs="Arial"/>
          <w:color w:val="000000"/>
          <w:sz w:val="22"/>
          <w:szCs w:val="22"/>
        </w:rPr>
        <w:t xml:space="preserve">Since </w:t>
      </w:r>
      <w:r w:rsidR="006C377E" w:rsidRPr="009B7C06">
        <w:rPr>
          <w:rFonts w:ascii="Arial" w:hAnsi="Arial" w:cs="Arial"/>
          <w:color w:val="000000"/>
          <w:sz w:val="22"/>
          <w:szCs w:val="22"/>
        </w:rPr>
        <w:t xml:space="preserve">2013 nearly all goods sold in Tokelau </w:t>
      </w:r>
      <w:r w:rsidRPr="009B7C06">
        <w:rPr>
          <w:rFonts w:ascii="Arial" w:hAnsi="Arial" w:cs="Arial"/>
          <w:color w:val="000000"/>
          <w:sz w:val="22"/>
          <w:szCs w:val="22"/>
        </w:rPr>
        <w:t xml:space="preserve">have been </w:t>
      </w:r>
      <w:r w:rsidR="006C377E" w:rsidRPr="009B7C06">
        <w:rPr>
          <w:rFonts w:ascii="Arial" w:hAnsi="Arial" w:cs="Arial"/>
          <w:color w:val="000000"/>
          <w:sz w:val="22"/>
          <w:szCs w:val="22"/>
        </w:rPr>
        <w:t>sourced directly from Samoa</w:t>
      </w:r>
      <w:r w:rsidR="004A6F9A">
        <w:rPr>
          <w:rFonts w:ascii="Arial" w:hAnsi="Arial" w:cs="Arial"/>
          <w:color w:val="000000"/>
          <w:sz w:val="22"/>
          <w:szCs w:val="22"/>
        </w:rPr>
        <w:t>. M</w:t>
      </w:r>
      <w:r w:rsidR="006C377E" w:rsidRPr="009B7C06">
        <w:rPr>
          <w:rFonts w:ascii="Arial" w:hAnsi="Arial" w:cs="Arial"/>
          <w:color w:val="000000"/>
          <w:sz w:val="22"/>
          <w:szCs w:val="22"/>
        </w:rPr>
        <w:t xml:space="preserve">any of these goods are re-exports, originating from various other </w:t>
      </w:r>
      <w:r w:rsidR="00F90769" w:rsidRPr="009B7C06">
        <w:rPr>
          <w:rFonts w:ascii="Arial" w:hAnsi="Arial" w:cs="Arial"/>
          <w:color w:val="000000"/>
          <w:sz w:val="22"/>
          <w:szCs w:val="22"/>
        </w:rPr>
        <w:t>countries</w:t>
      </w:r>
      <w:r w:rsidR="006C377E" w:rsidRPr="009B7C06">
        <w:rPr>
          <w:rFonts w:ascii="Arial" w:hAnsi="Arial" w:cs="Arial"/>
          <w:color w:val="000000"/>
          <w:sz w:val="22"/>
          <w:szCs w:val="22"/>
        </w:rPr>
        <w:t xml:space="preserve"> including China, Australia, and New Zealand. This introduc</w:t>
      </w:r>
      <w:r w:rsidR="004A6F9A">
        <w:rPr>
          <w:rFonts w:ascii="Arial" w:hAnsi="Arial" w:cs="Arial"/>
          <w:color w:val="000000"/>
          <w:sz w:val="22"/>
          <w:szCs w:val="22"/>
        </w:rPr>
        <w:t>es</w:t>
      </w:r>
      <w:r w:rsidR="006C377E" w:rsidRPr="009B7C06">
        <w:rPr>
          <w:rFonts w:ascii="Arial" w:hAnsi="Arial" w:cs="Arial"/>
          <w:color w:val="000000"/>
          <w:sz w:val="22"/>
          <w:szCs w:val="22"/>
        </w:rPr>
        <w:t xml:space="preserve"> price fluctuation between quarters</w:t>
      </w:r>
      <w:r w:rsidR="004A6F9A">
        <w:rPr>
          <w:rFonts w:ascii="Arial" w:hAnsi="Arial" w:cs="Arial"/>
          <w:color w:val="000000"/>
          <w:sz w:val="22"/>
          <w:szCs w:val="22"/>
        </w:rPr>
        <w:t>, and</w:t>
      </w:r>
      <w:r w:rsidR="006C377E" w:rsidRPr="009B7C06">
        <w:rPr>
          <w:rFonts w:ascii="Arial" w:hAnsi="Arial" w:cs="Arial"/>
          <w:color w:val="000000"/>
          <w:sz w:val="22"/>
          <w:szCs w:val="22"/>
        </w:rPr>
        <w:t xml:space="preserve"> can be caused </w:t>
      </w:r>
      <w:r w:rsidR="00F90769" w:rsidRPr="009B7C06">
        <w:rPr>
          <w:rFonts w:ascii="Arial" w:hAnsi="Arial" w:cs="Arial"/>
          <w:color w:val="000000"/>
          <w:sz w:val="22"/>
          <w:szCs w:val="22"/>
        </w:rPr>
        <w:t xml:space="preserve">both </w:t>
      </w:r>
      <w:r w:rsidR="006C377E" w:rsidRPr="009B7C06">
        <w:rPr>
          <w:rFonts w:ascii="Arial" w:hAnsi="Arial" w:cs="Arial"/>
          <w:color w:val="000000"/>
          <w:sz w:val="22"/>
          <w:szCs w:val="22"/>
        </w:rPr>
        <w:t xml:space="preserve">by local demand, and </w:t>
      </w:r>
      <w:r w:rsidR="00F90769" w:rsidRPr="009B7C06">
        <w:rPr>
          <w:rFonts w:ascii="Arial" w:hAnsi="Arial" w:cs="Arial"/>
          <w:color w:val="000000"/>
          <w:sz w:val="22"/>
          <w:szCs w:val="22"/>
        </w:rPr>
        <w:t xml:space="preserve">by </w:t>
      </w:r>
      <w:r w:rsidR="006C377E" w:rsidRPr="009B7C06">
        <w:rPr>
          <w:rFonts w:ascii="Arial" w:hAnsi="Arial" w:cs="Arial"/>
          <w:color w:val="000000"/>
          <w:sz w:val="22"/>
          <w:szCs w:val="22"/>
        </w:rPr>
        <w:t xml:space="preserve">international variables including demand, availability, seasonal effect, and changes in exchange rates. Changes in availability or price in Samoa have a strong influence on the Tokelau CPI. </w:t>
      </w:r>
    </w:p>
    <w:p w14:paraId="5F6CFC5B" w14:textId="057CDE06" w:rsidR="00D2737C" w:rsidRPr="009B7C06" w:rsidRDefault="00B2056C" w:rsidP="00B2056C">
      <w:pPr>
        <w:pStyle w:val="ListParagraph"/>
        <w:numPr>
          <w:ilvl w:val="0"/>
          <w:numId w:val="9"/>
        </w:numPr>
        <w:rPr>
          <w:rFonts w:ascii="Arial" w:hAnsi="Arial" w:cs="Arial"/>
          <w:color w:val="000000"/>
          <w:sz w:val="22"/>
          <w:szCs w:val="22"/>
        </w:rPr>
      </w:pPr>
      <w:r w:rsidRPr="009B7C06">
        <w:rPr>
          <w:rFonts w:ascii="Arial" w:hAnsi="Arial" w:cs="Arial"/>
          <w:sz w:val="22"/>
          <w:szCs w:val="22"/>
          <w:lang w:val="en-US"/>
        </w:rPr>
        <w:lastRenderedPageBreak/>
        <w:t xml:space="preserve">Each nuku sets pricing policy (such as for </w:t>
      </w:r>
      <w:r w:rsidR="00437006">
        <w:rPr>
          <w:rFonts w:ascii="Arial" w:hAnsi="Arial" w:cs="Arial"/>
          <w:sz w:val="22"/>
          <w:szCs w:val="22"/>
          <w:lang w:val="en-US"/>
        </w:rPr>
        <w:t>meats</w:t>
      </w:r>
      <w:r w:rsidRPr="009B7C06">
        <w:rPr>
          <w:rFonts w:ascii="Arial" w:hAnsi="Arial" w:cs="Arial"/>
          <w:sz w:val="22"/>
          <w:szCs w:val="22"/>
          <w:lang w:val="en-US"/>
        </w:rPr>
        <w:t>, alcoholic and non-alcoholic drinks) independently, and this can change at any point. In July 2017, General Fono (Parliament) approved a national 325 percent tax increase on cigarettes, in an effort to reduce smoking and hence the prevalence of non-communicable diseases</w:t>
      </w:r>
      <w:r w:rsidR="007E7B5E" w:rsidRPr="009B7C06">
        <w:rPr>
          <w:rFonts w:ascii="Arial" w:hAnsi="Arial" w:cs="Arial"/>
          <w:sz w:val="22"/>
          <w:szCs w:val="22"/>
          <w:lang w:val="en-US"/>
        </w:rPr>
        <w:t xml:space="preserve"> in the atoll population</w:t>
      </w:r>
      <w:r w:rsidRPr="009B7C06">
        <w:rPr>
          <w:rFonts w:ascii="Arial" w:hAnsi="Arial" w:cs="Arial"/>
          <w:sz w:val="22"/>
          <w:szCs w:val="22"/>
          <w:lang w:val="en-US"/>
        </w:rPr>
        <w:t xml:space="preserve">. </w:t>
      </w:r>
      <w:r w:rsidR="00DD5868">
        <w:rPr>
          <w:rFonts w:ascii="Arial" w:hAnsi="Arial" w:cs="Arial"/>
          <w:sz w:val="22"/>
          <w:szCs w:val="22"/>
          <w:lang w:val="en-US"/>
        </w:rPr>
        <w:t xml:space="preserve">In July 2018, a further price rise of NZ$4.50 per packet of 20 </w:t>
      </w:r>
      <w:r w:rsidR="00937AE6">
        <w:rPr>
          <w:rFonts w:ascii="Arial" w:hAnsi="Arial" w:cs="Arial"/>
          <w:sz w:val="22"/>
          <w:szCs w:val="22"/>
          <w:lang w:val="en-US"/>
        </w:rPr>
        <w:t xml:space="preserve">sticks </w:t>
      </w:r>
      <w:r w:rsidR="00DD5868">
        <w:rPr>
          <w:rFonts w:ascii="Arial" w:hAnsi="Arial" w:cs="Arial"/>
          <w:sz w:val="22"/>
          <w:szCs w:val="22"/>
          <w:lang w:val="en-US"/>
        </w:rPr>
        <w:t xml:space="preserve">was implemented by the Taupulega in Fakaofo. </w:t>
      </w:r>
      <w:r w:rsidRPr="009B7C06">
        <w:rPr>
          <w:rFonts w:ascii="Arial" w:hAnsi="Arial" w:cs="Arial"/>
          <w:sz w:val="22"/>
          <w:szCs w:val="22"/>
          <w:lang w:val="en-US"/>
        </w:rPr>
        <w:t>Because cigarettes have a relatively large weight in the CPI, any change in their price will significantly impact the overall CPI movement</w:t>
      </w:r>
      <w:r w:rsidR="00C855CB" w:rsidRPr="009B7C06">
        <w:rPr>
          <w:rFonts w:ascii="Arial" w:hAnsi="Arial" w:cs="Arial"/>
          <w:sz w:val="22"/>
          <w:szCs w:val="22"/>
          <w:lang w:val="en-US"/>
        </w:rPr>
        <w:t>,</w:t>
      </w:r>
      <w:r w:rsidRPr="009B7C06">
        <w:rPr>
          <w:rFonts w:ascii="Arial" w:hAnsi="Arial" w:cs="Arial"/>
          <w:sz w:val="22"/>
          <w:szCs w:val="22"/>
          <w:lang w:val="en-US"/>
        </w:rPr>
        <w:t xml:space="preserve"> as </w:t>
      </w:r>
      <w:r w:rsidR="00C855CB" w:rsidRPr="009B7C06">
        <w:rPr>
          <w:rFonts w:ascii="Arial" w:hAnsi="Arial" w:cs="Arial"/>
          <w:sz w:val="22"/>
          <w:szCs w:val="22"/>
          <w:lang w:val="en-US"/>
        </w:rPr>
        <w:t xml:space="preserve">was </w:t>
      </w:r>
      <w:r w:rsidRPr="009B7C06">
        <w:rPr>
          <w:rFonts w:ascii="Arial" w:hAnsi="Arial" w:cs="Arial"/>
          <w:sz w:val="22"/>
          <w:szCs w:val="22"/>
          <w:lang w:val="en-US"/>
        </w:rPr>
        <w:t xml:space="preserve">seen </w:t>
      </w:r>
      <w:r w:rsidR="00C855CB" w:rsidRPr="009B7C06">
        <w:rPr>
          <w:rFonts w:ascii="Arial" w:hAnsi="Arial" w:cs="Arial"/>
          <w:sz w:val="22"/>
          <w:szCs w:val="22"/>
          <w:lang w:val="en-US"/>
        </w:rPr>
        <w:t>throughout</w:t>
      </w:r>
      <w:r w:rsidRPr="009B7C06">
        <w:rPr>
          <w:rFonts w:ascii="Arial" w:hAnsi="Arial" w:cs="Arial"/>
          <w:sz w:val="22"/>
          <w:szCs w:val="22"/>
          <w:lang w:val="en-US"/>
        </w:rPr>
        <w:t xml:space="preserve"> 2017</w:t>
      </w:r>
      <w:r w:rsidR="00BA10A4" w:rsidRPr="009B7C06">
        <w:rPr>
          <w:rFonts w:ascii="Arial" w:hAnsi="Arial"/>
          <w:sz w:val="22"/>
          <w:szCs w:val="22"/>
        </w:rPr>
        <w:t>.</w:t>
      </w:r>
    </w:p>
    <w:p w14:paraId="731A0D3E" w14:textId="77777777" w:rsidR="006C377E" w:rsidRPr="009B7C06" w:rsidRDefault="006C377E" w:rsidP="00E15634">
      <w:pPr>
        <w:pStyle w:val="Heading2"/>
        <w:rPr>
          <w:sz w:val="26"/>
          <w:szCs w:val="26"/>
          <w:lang w:val="en-AU"/>
        </w:rPr>
      </w:pPr>
      <w:bookmarkStart w:id="29" w:name="_Toc215806629"/>
      <w:r w:rsidRPr="009B7C06">
        <w:rPr>
          <w:sz w:val="26"/>
          <w:szCs w:val="26"/>
          <w:lang w:val="en-AU"/>
        </w:rPr>
        <w:t>Liability</w:t>
      </w:r>
      <w:bookmarkEnd w:id="29"/>
    </w:p>
    <w:p w14:paraId="497AF81D" w14:textId="20076192" w:rsidR="006C377E" w:rsidRPr="009B7C06" w:rsidRDefault="00C455B5" w:rsidP="00E15634">
      <w:pPr>
        <w:pStyle w:val="NormalWeb"/>
        <w:rPr>
          <w:rFonts w:ascii="Arial" w:hAnsi="Arial" w:cs="Arial"/>
          <w:color w:val="000000"/>
          <w:sz w:val="22"/>
          <w:szCs w:val="22"/>
          <w:lang w:val="en-AU"/>
        </w:rPr>
      </w:pPr>
      <w:r w:rsidRPr="009B7C06">
        <w:rPr>
          <w:rFonts w:ascii="Arial" w:hAnsi="Arial" w:cs="Arial"/>
          <w:color w:val="000000"/>
          <w:sz w:val="22"/>
          <w:szCs w:val="22"/>
          <w:lang w:val="en-AU"/>
        </w:rPr>
        <w:t>A</w:t>
      </w:r>
      <w:r w:rsidR="006C377E" w:rsidRPr="009B7C06">
        <w:rPr>
          <w:rFonts w:ascii="Arial" w:hAnsi="Arial" w:cs="Arial"/>
          <w:color w:val="000000"/>
          <w:sz w:val="22"/>
          <w:szCs w:val="22"/>
          <w:lang w:val="en-AU"/>
        </w:rPr>
        <w:t>ll care and diligence has been used in processing, analysing, and extracting data and information in this publication</w:t>
      </w:r>
      <w:r w:rsidRPr="009B7C06">
        <w:rPr>
          <w:rFonts w:ascii="Arial" w:hAnsi="Arial" w:cs="Arial"/>
          <w:color w:val="000000"/>
          <w:sz w:val="22"/>
          <w:szCs w:val="22"/>
          <w:lang w:val="en-AU"/>
        </w:rPr>
        <w:t>. However</w:t>
      </w:r>
      <w:r w:rsidR="006C377E" w:rsidRPr="009B7C06">
        <w:rPr>
          <w:rFonts w:ascii="Arial" w:hAnsi="Arial" w:cs="Arial"/>
          <w:color w:val="000000"/>
          <w:sz w:val="22"/>
          <w:szCs w:val="22"/>
          <w:lang w:val="en-AU"/>
        </w:rPr>
        <w:t>, the TNSO gives no warranty it is error-free and will not be liable for any loss or damage suffered by the use directly, or indirectly, of the information in this publication.</w:t>
      </w:r>
    </w:p>
    <w:p w14:paraId="0D8D3C4B" w14:textId="77777777" w:rsidR="006C377E" w:rsidRPr="009B7C06" w:rsidRDefault="006C377E" w:rsidP="00E15634">
      <w:pPr>
        <w:pStyle w:val="Heading2"/>
        <w:rPr>
          <w:sz w:val="26"/>
          <w:szCs w:val="26"/>
          <w:lang w:val="en-AU"/>
        </w:rPr>
      </w:pPr>
      <w:bookmarkStart w:id="30" w:name="_Toc215806630"/>
      <w:r w:rsidRPr="009B7C06">
        <w:rPr>
          <w:sz w:val="26"/>
          <w:szCs w:val="26"/>
          <w:lang w:val="en-AU"/>
        </w:rPr>
        <w:t>Timing</w:t>
      </w:r>
      <w:bookmarkEnd w:id="30"/>
    </w:p>
    <w:p w14:paraId="7E4EAEDB" w14:textId="77777777" w:rsidR="006C377E" w:rsidRPr="009B7C06" w:rsidRDefault="006C377E" w:rsidP="00E15634">
      <w:pPr>
        <w:pStyle w:val="NormalWeb"/>
        <w:rPr>
          <w:rFonts w:ascii="Arial" w:hAnsi="Arial" w:cs="Arial"/>
          <w:color w:val="000000"/>
          <w:sz w:val="22"/>
          <w:szCs w:val="22"/>
          <w:lang w:val="en-AU"/>
        </w:rPr>
      </w:pPr>
      <w:r w:rsidRPr="009B7C06">
        <w:rPr>
          <w:rFonts w:ascii="Arial" w:hAnsi="Arial" w:cs="Arial"/>
          <w:color w:val="000000"/>
          <w:sz w:val="22"/>
          <w:szCs w:val="22"/>
          <w:lang w:val="en-AU"/>
        </w:rPr>
        <w:t>Our information releases are delivered electronically by third parties. Delivery may be delayed by circumstances outside our control. The TNSO does not accept responsibility for any such delay.</w:t>
      </w:r>
    </w:p>
    <w:p w14:paraId="67C71788" w14:textId="2711EC55" w:rsidR="00BB6A02" w:rsidRDefault="00BB6A02" w:rsidP="00E15634">
      <w:pPr>
        <w:pStyle w:val="NormalWeb"/>
        <w:rPr>
          <w:rFonts w:ascii="Arial" w:hAnsi="Arial" w:cs="Arial"/>
          <w:color w:val="000000"/>
          <w:sz w:val="22"/>
          <w:szCs w:val="22"/>
          <w:lang w:val="en-AU"/>
        </w:rPr>
      </w:pPr>
      <w:r w:rsidRPr="009B7C06">
        <w:rPr>
          <w:rFonts w:ascii="Arial" w:hAnsi="Arial" w:cs="Arial"/>
          <w:color w:val="000000"/>
          <w:sz w:val="22"/>
          <w:szCs w:val="22"/>
          <w:lang w:val="en-AU"/>
        </w:rPr>
        <w:t>[ends]</w:t>
      </w:r>
    </w:p>
    <w:p w14:paraId="75A451F7" w14:textId="104D0C4A" w:rsidR="004A6F9A" w:rsidRDefault="004A6F9A" w:rsidP="00E15634">
      <w:pPr>
        <w:pStyle w:val="NormalWeb"/>
        <w:rPr>
          <w:rFonts w:ascii="Arial" w:hAnsi="Arial" w:cs="Arial"/>
          <w:color w:val="000000"/>
          <w:sz w:val="22"/>
          <w:szCs w:val="22"/>
          <w:lang w:val="en-AU"/>
        </w:rPr>
      </w:pPr>
    </w:p>
    <w:p w14:paraId="76DD1AAB" w14:textId="2713E32E" w:rsidR="004A6F9A" w:rsidRDefault="004A6F9A" w:rsidP="00E15634">
      <w:pPr>
        <w:pStyle w:val="NormalWeb"/>
        <w:rPr>
          <w:rFonts w:ascii="Arial" w:hAnsi="Arial" w:cs="Arial"/>
          <w:color w:val="000000"/>
          <w:sz w:val="22"/>
          <w:szCs w:val="22"/>
          <w:lang w:val="en-AU"/>
        </w:rPr>
      </w:pPr>
    </w:p>
    <w:p w14:paraId="40FF1DDF" w14:textId="3E57C394" w:rsidR="004A6F9A" w:rsidRPr="00185368" w:rsidRDefault="004A6F9A" w:rsidP="00E15634">
      <w:pPr>
        <w:pStyle w:val="NormalWeb"/>
        <w:rPr>
          <w:rFonts w:ascii="Arial" w:hAnsi="Arial" w:cs="Arial"/>
          <w:color w:val="000000"/>
          <w:sz w:val="22"/>
          <w:szCs w:val="22"/>
          <w:lang w:val="en-AU"/>
        </w:rPr>
      </w:pPr>
    </w:p>
    <w:sectPr w:rsidR="004A6F9A" w:rsidRPr="00185368" w:rsidSect="008530B5">
      <w:headerReference w:type="even" r:id="rId13"/>
      <w:headerReference w:type="default" r:id="rId14"/>
      <w:footerReference w:type="even" r:id="rId15"/>
      <w:footerReference w:type="default" r:id="rId16"/>
      <w:headerReference w:type="first" r:id="rId17"/>
      <w:footerReference w:type="first" r:id="rId18"/>
      <w:pgSz w:w="11900" w:h="16840" w:code="9"/>
      <w:pgMar w:top="1440" w:right="1077" w:bottom="1440" w:left="1077"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F98E8" w14:textId="77777777" w:rsidR="00D17E28" w:rsidRDefault="00D17E28" w:rsidP="00CD49DD">
      <w:pPr>
        <w:spacing w:after="0"/>
      </w:pPr>
      <w:r>
        <w:separator/>
      </w:r>
    </w:p>
  </w:endnote>
  <w:endnote w:type="continuationSeparator" w:id="0">
    <w:p w14:paraId="2C21F8D1" w14:textId="77777777" w:rsidR="00D17E28" w:rsidRDefault="00D17E28" w:rsidP="00CD49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87A8E" w14:textId="0F552FA6" w:rsidR="000C777D" w:rsidRPr="00EC34CC" w:rsidRDefault="000C777D" w:rsidP="002D32FC">
    <w:pPr>
      <w:pStyle w:val="Footer"/>
      <w:tabs>
        <w:tab w:val="clear" w:pos="4320"/>
        <w:tab w:val="clear" w:pos="8640"/>
        <w:tab w:val="center" w:pos="5040"/>
        <w:tab w:val="right" w:pos="9630"/>
      </w:tabs>
      <w:ind w:right="-41"/>
      <w:rPr>
        <w:rFonts w:ascii="Arial" w:hAnsi="Arial" w:cs="Arial"/>
        <w:sz w:val="20"/>
        <w:szCs w:val="20"/>
        <w:lang w:val="nl-NL"/>
      </w:rPr>
    </w:pPr>
    <w:r w:rsidRPr="00EC34CC">
      <w:rPr>
        <w:rFonts w:ascii="Arial" w:hAnsi="Arial" w:cs="Arial"/>
        <w:sz w:val="20"/>
        <w:szCs w:val="20"/>
        <w:lang w:val="nl-NL"/>
      </w:rPr>
      <w:t xml:space="preserve">Website: </w:t>
    </w:r>
    <w:r>
      <w:rPr>
        <w:rStyle w:val="Hyperlink"/>
        <w:rFonts w:ascii="Arial" w:hAnsi="Arial" w:cs="Arial"/>
        <w:sz w:val="20"/>
        <w:szCs w:val="20"/>
        <w:lang w:val="nl-NL"/>
      </w:rPr>
      <w:t>www.</w:t>
    </w:r>
    <w:r w:rsidRPr="00293AE6">
      <w:rPr>
        <w:rStyle w:val="Hyperlink"/>
        <w:rFonts w:ascii="Arial" w:hAnsi="Arial" w:cs="Arial"/>
        <w:sz w:val="20"/>
        <w:szCs w:val="20"/>
        <w:lang w:val="nl-NL"/>
      </w:rPr>
      <w:t>tokelau.org.nz</w:t>
    </w:r>
    <w:r>
      <w:rPr>
        <w:rStyle w:val="Hyperlink"/>
        <w:rFonts w:ascii="Arial" w:hAnsi="Arial" w:cs="Arial"/>
        <w:sz w:val="20"/>
        <w:szCs w:val="20"/>
        <w:lang w:val="nl-NL"/>
      </w:rPr>
      <w:t>/Stats.html</w:t>
    </w:r>
    <w:r w:rsidRPr="00EC34CC">
      <w:rPr>
        <w:rFonts w:ascii="Arial" w:hAnsi="Arial" w:cs="Arial"/>
        <w:sz w:val="20"/>
        <w:szCs w:val="20"/>
        <w:lang w:val="nl-NL"/>
      </w:rPr>
      <w:tab/>
    </w:r>
    <w:r w:rsidRPr="005A1178">
      <w:rPr>
        <w:rFonts w:ascii="Arial" w:hAnsi="Arial" w:cs="Arial"/>
        <w:sz w:val="20"/>
        <w:szCs w:val="20"/>
        <w:lang w:val="nl-NL"/>
      </w:rPr>
      <w:t>Email:</w:t>
    </w:r>
    <w:r w:rsidRPr="00D95C7E">
      <w:rPr>
        <w:rFonts w:ascii="Arial" w:hAnsi="Arial" w:cs="Arial"/>
        <w:sz w:val="20"/>
        <w:szCs w:val="20"/>
        <w:lang w:val="nl-NL"/>
      </w:rPr>
      <w:t xml:space="preserve"> </w:t>
    </w:r>
    <w:hyperlink r:id="rId1" w:history="1">
      <w:r w:rsidRPr="00D95C7E">
        <w:rPr>
          <w:rStyle w:val="Hyperlink"/>
          <w:rFonts w:ascii="Arial" w:hAnsi="Arial" w:cs="Arial"/>
          <w:sz w:val="20"/>
          <w:szCs w:val="20"/>
          <w:lang w:val="nl-NL"/>
        </w:rPr>
        <w:t>tnso@tokelau.org.nz</w:t>
      </w:r>
    </w:hyperlink>
    <w:r w:rsidRPr="00EC34CC">
      <w:rPr>
        <w:rFonts w:ascii="Arial" w:hAnsi="Arial" w:cs="Arial"/>
        <w:sz w:val="20"/>
        <w:szCs w:val="20"/>
        <w:lang w:val="nl-NL"/>
      </w:rPr>
      <w:tab/>
      <w:t xml:space="preserve">Phone: +685 </w:t>
    </w:r>
    <w:r>
      <w:rPr>
        <w:rFonts w:ascii="Arial" w:hAnsi="Arial" w:cs="Arial"/>
        <w:sz w:val="20"/>
        <w:szCs w:val="20"/>
        <w:lang w:val="nl-NL"/>
      </w:rPr>
      <w:t>7294913</w:t>
    </w:r>
  </w:p>
  <w:p w14:paraId="4D83D553" w14:textId="77777777" w:rsidR="000C777D" w:rsidRPr="00D95C7E" w:rsidRDefault="000C777D" w:rsidP="000C399E">
    <w:pPr>
      <w:pStyle w:val="Footer"/>
      <w:ind w:right="360"/>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9ABF" w14:textId="10A66999" w:rsidR="000C777D" w:rsidRPr="00EC34CC" w:rsidRDefault="000C777D" w:rsidP="002D32FC">
    <w:pPr>
      <w:pStyle w:val="Footer"/>
      <w:tabs>
        <w:tab w:val="clear" w:pos="4320"/>
        <w:tab w:val="clear" w:pos="8640"/>
        <w:tab w:val="center" w:pos="5040"/>
        <w:tab w:val="right" w:pos="9630"/>
      </w:tabs>
      <w:ind w:right="-41"/>
      <w:rPr>
        <w:rFonts w:ascii="Arial" w:hAnsi="Arial" w:cs="Arial"/>
        <w:sz w:val="20"/>
        <w:szCs w:val="20"/>
        <w:lang w:val="nl-NL"/>
      </w:rPr>
    </w:pPr>
    <w:r w:rsidRPr="00EC34CC">
      <w:rPr>
        <w:rFonts w:ascii="Arial" w:hAnsi="Arial" w:cs="Arial"/>
        <w:sz w:val="20"/>
        <w:szCs w:val="20"/>
        <w:lang w:val="nl-NL"/>
      </w:rPr>
      <w:t>Website:</w:t>
    </w:r>
    <w:r>
      <w:rPr>
        <w:rFonts w:ascii="Arial" w:hAnsi="Arial" w:cs="Arial"/>
        <w:sz w:val="20"/>
        <w:szCs w:val="20"/>
        <w:lang w:val="nl-NL"/>
      </w:rPr>
      <w:t xml:space="preserve"> </w:t>
    </w:r>
    <w:r>
      <w:rPr>
        <w:rStyle w:val="Hyperlink"/>
        <w:rFonts w:ascii="Arial" w:hAnsi="Arial" w:cs="Arial"/>
        <w:sz w:val="20"/>
        <w:szCs w:val="20"/>
        <w:lang w:val="nl-NL"/>
      </w:rPr>
      <w:t>www.</w:t>
    </w:r>
    <w:r w:rsidRPr="00293AE6">
      <w:rPr>
        <w:rStyle w:val="Hyperlink"/>
        <w:rFonts w:ascii="Arial" w:hAnsi="Arial" w:cs="Arial"/>
        <w:sz w:val="20"/>
        <w:szCs w:val="20"/>
        <w:lang w:val="nl-NL"/>
      </w:rPr>
      <w:t>tokelau.org.nz</w:t>
    </w:r>
    <w:r>
      <w:rPr>
        <w:rStyle w:val="Hyperlink"/>
        <w:rFonts w:ascii="Arial" w:hAnsi="Arial" w:cs="Arial"/>
        <w:sz w:val="20"/>
        <w:szCs w:val="20"/>
        <w:lang w:val="nl-NL"/>
      </w:rPr>
      <w:t>/Stats.html</w:t>
    </w:r>
    <w:r w:rsidRPr="00EC34CC">
      <w:rPr>
        <w:rFonts w:ascii="Arial" w:hAnsi="Arial" w:cs="Arial"/>
        <w:sz w:val="20"/>
        <w:szCs w:val="20"/>
        <w:lang w:val="nl-NL"/>
      </w:rPr>
      <w:tab/>
    </w:r>
    <w:r w:rsidRPr="005A1178">
      <w:rPr>
        <w:rFonts w:ascii="Arial" w:hAnsi="Arial" w:cs="Arial"/>
        <w:sz w:val="20"/>
        <w:szCs w:val="20"/>
        <w:lang w:val="nl-NL"/>
      </w:rPr>
      <w:t>Email:</w:t>
    </w:r>
    <w:r w:rsidRPr="00D95C7E">
      <w:rPr>
        <w:rFonts w:ascii="Arial" w:hAnsi="Arial" w:cs="Arial"/>
        <w:sz w:val="20"/>
        <w:szCs w:val="20"/>
        <w:lang w:val="nl-NL"/>
      </w:rPr>
      <w:t xml:space="preserve"> </w:t>
    </w:r>
    <w:hyperlink r:id="rId1" w:history="1">
      <w:r w:rsidRPr="00D95C7E">
        <w:rPr>
          <w:rStyle w:val="Hyperlink"/>
          <w:rFonts w:ascii="Arial" w:hAnsi="Arial" w:cs="Arial"/>
          <w:sz w:val="20"/>
          <w:szCs w:val="20"/>
          <w:lang w:val="nl-NL"/>
        </w:rPr>
        <w:t>tnso@tokelau.org.nz</w:t>
      </w:r>
    </w:hyperlink>
    <w:r w:rsidRPr="00EC34CC">
      <w:rPr>
        <w:rFonts w:ascii="Arial" w:hAnsi="Arial" w:cs="Arial"/>
        <w:sz w:val="20"/>
        <w:szCs w:val="20"/>
        <w:lang w:val="nl-NL"/>
      </w:rPr>
      <w:tab/>
      <w:t xml:space="preserve">Phone: +685 </w:t>
    </w:r>
    <w:r>
      <w:rPr>
        <w:rFonts w:ascii="Arial" w:hAnsi="Arial" w:cs="Arial"/>
        <w:sz w:val="20"/>
        <w:szCs w:val="20"/>
        <w:lang w:val="nl-NL"/>
      </w:rPr>
      <w:t>7294913</w:t>
    </w:r>
  </w:p>
  <w:p w14:paraId="1EE68820" w14:textId="77777777" w:rsidR="000C777D" w:rsidRPr="00D95C7E" w:rsidRDefault="000C777D">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924F8" w14:textId="330F4371" w:rsidR="000C777D" w:rsidRPr="00EC34CC" w:rsidRDefault="000C777D" w:rsidP="00EC34CC">
    <w:pPr>
      <w:pStyle w:val="Footer"/>
      <w:tabs>
        <w:tab w:val="clear" w:pos="4320"/>
        <w:tab w:val="clear" w:pos="8640"/>
        <w:tab w:val="center" w:pos="5040"/>
        <w:tab w:val="right" w:pos="9630"/>
      </w:tabs>
      <w:ind w:right="-41"/>
      <w:rPr>
        <w:rFonts w:ascii="Arial" w:hAnsi="Arial" w:cs="Arial"/>
        <w:sz w:val="20"/>
        <w:szCs w:val="20"/>
        <w:lang w:val="nl-NL"/>
      </w:rPr>
    </w:pPr>
    <w:r w:rsidRPr="00EC34CC">
      <w:rPr>
        <w:rFonts w:ascii="Arial" w:hAnsi="Arial" w:cs="Arial"/>
        <w:sz w:val="20"/>
        <w:szCs w:val="20"/>
        <w:lang w:val="nl-NL"/>
      </w:rPr>
      <w:t xml:space="preserve">Website: </w:t>
    </w:r>
    <w:r>
      <w:rPr>
        <w:rStyle w:val="Hyperlink"/>
        <w:rFonts w:ascii="Arial" w:hAnsi="Arial" w:cs="Arial"/>
        <w:sz w:val="20"/>
        <w:szCs w:val="20"/>
        <w:lang w:val="nl-NL"/>
      </w:rPr>
      <w:t>www.</w:t>
    </w:r>
    <w:r w:rsidRPr="00293AE6">
      <w:rPr>
        <w:rStyle w:val="Hyperlink"/>
        <w:rFonts w:ascii="Arial" w:hAnsi="Arial" w:cs="Arial"/>
        <w:sz w:val="20"/>
        <w:szCs w:val="20"/>
        <w:lang w:val="nl-NL"/>
      </w:rPr>
      <w:t>tokelau.org.nz</w:t>
    </w:r>
    <w:r>
      <w:rPr>
        <w:rStyle w:val="Hyperlink"/>
        <w:rFonts w:ascii="Arial" w:hAnsi="Arial" w:cs="Arial"/>
        <w:sz w:val="20"/>
        <w:szCs w:val="20"/>
        <w:lang w:val="nl-NL"/>
      </w:rPr>
      <w:t>/Stats.html</w:t>
    </w:r>
    <w:r w:rsidRPr="00EC34CC">
      <w:rPr>
        <w:rFonts w:ascii="Arial" w:hAnsi="Arial" w:cs="Arial"/>
        <w:sz w:val="20"/>
        <w:szCs w:val="20"/>
        <w:lang w:val="nl-NL"/>
      </w:rPr>
      <w:tab/>
    </w:r>
    <w:r w:rsidRPr="005A1178">
      <w:rPr>
        <w:rFonts w:ascii="Arial" w:hAnsi="Arial" w:cs="Arial"/>
        <w:sz w:val="20"/>
        <w:szCs w:val="20"/>
        <w:lang w:val="nl-NL"/>
      </w:rPr>
      <w:t>Email:</w:t>
    </w:r>
    <w:r w:rsidRPr="00D95C7E">
      <w:rPr>
        <w:rFonts w:ascii="Arial" w:hAnsi="Arial" w:cs="Arial"/>
        <w:sz w:val="20"/>
        <w:szCs w:val="20"/>
        <w:lang w:val="nl-NL"/>
      </w:rPr>
      <w:t xml:space="preserve"> </w:t>
    </w:r>
    <w:hyperlink r:id="rId1" w:history="1">
      <w:r w:rsidRPr="00D95C7E">
        <w:rPr>
          <w:rStyle w:val="Hyperlink"/>
          <w:rFonts w:ascii="Arial" w:hAnsi="Arial" w:cs="Arial"/>
          <w:sz w:val="20"/>
          <w:szCs w:val="20"/>
          <w:lang w:val="nl-NL"/>
        </w:rPr>
        <w:t>tnso@tokelau.org.nz</w:t>
      </w:r>
    </w:hyperlink>
    <w:r w:rsidRPr="00EC34CC">
      <w:rPr>
        <w:rFonts w:ascii="Arial" w:hAnsi="Arial" w:cs="Arial"/>
        <w:sz w:val="20"/>
        <w:szCs w:val="20"/>
        <w:lang w:val="nl-NL"/>
      </w:rPr>
      <w:tab/>
      <w:t xml:space="preserve">Phone: +685 </w:t>
    </w:r>
    <w:r>
      <w:rPr>
        <w:rFonts w:ascii="Arial" w:hAnsi="Arial" w:cs="Arial"/>
        <w:sz w:val="20"/>
        <w:szCs w:val="20"/>
        <w:lang w:val="nl-NL"/>
      </w:rPr>
      <w:t>7294913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17A3A" w14:textId="77777777" w:rsidR="00D17E28" w:rsidRDefault="00D17E28" w:rsidP="00CD49DD">
      <w:pPr>
        <w:spacing w:after="0"/>
      </w:pPr>
      <w:r>
        <w:separator/>
      </w:r>
    </w:p>
  </w:footnote>
  <w:footnote w:type="continuationSeparator" w:id="0">
    <w:p w14:paraId="1F9C2284" w14:textId="77777777" w:rsidR="00D17E28" w:rsidRDefault="00D17E28" w:rsidP="00CD49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25BA9" w14:textId="7C7A39D8" w:rsidR="000C777D" w:rsidRDefault="000C777D" w:rsidP="008530B5">
    <w:pPr>
      <w:pStyle w:val="Header"/>
      <w:tabs>
        <w:tab w:val="clear" w:pos="4320"/>
        <w:tab w:val="clear" w:pos="8640"/>
        <w:tab w:val="right" w:pos="9498"/>
      </w:tabs>
    </w:pPr>
    <w:r>
      <w:rPr>
        <w:rFonts w:ascii="Arial" w:hAnsi="Arial" w:cs="Arial"/>
        <w:sz w:val="20"/>
        <w:lang w:val="en-NZ"/>
      </w:rPr>
      <w:t xml:space="preserve">Page </w:t>
    </w:r>
    <w:r>
      <w:rPr>
        <w:rFonts w:ascii="Arial" w:hAnsi="Arial" w:cs="Arial"/>
        <w:sz w:val="20"/>
        <w:lang w:val="en-NZ"/>
      </w:rPr>
      <w:fldChar w:fldCharType="begin"/>
    </w:r>
    <w:r>
      <w:rPr>
        <w:rFonts w:ascii="Arial" w:hAnsi="Arial" w:cs="Arial"/>
        <w:sz w:val="20"/>
        <w:lang w:val="en-NZ"/>
      </w:rPr>
      <w:instrText xml:space="preserve"> PAGE   \* MERGEFORMAT </w:instrText>
    </w:r>
    <w:r>
      <w:rPr>
        <w:rFonts w:ascii="Arial" w:hAnsi="Arial" w:cs="Arial"/>
        <w:sz w:val="20"/>
        <w:lang w:val="en-NZ"/>
      </w:rPr>
      <w:fldChar w:fldCharType="separate"/>
    </w:r>
    <w:r w:rsidR="00FD7238">
      <w:rPr>
        <w:rFonts w:ascii="Arial" w:hAnsi="Arial" w:cs="Arial"/>
        <w:noProof/>
        <w:sz w:val="20"/>
        <w:lang w:val="en-NZ"/>
      </w:rPr>
      <w:t>4</w:t>
    </w:r>
    <w:r>
      <w:rPr>
        <w:rFonts w:ascii="Arial" w:hAnsi="Arial" w:cs="Arial"/>
        <w:sz w:val="20"/>
        <w:lang w:val="en-NZ"/>
      </w:rPr>
      <w:fldChar w:fldCharType="end"/>
    </w:r>
    <w:r>
      <w:rPr>
        <w:rFonts w:ascii="Arial" w:hAnsi="Arial" w:cs="Arial"/>
        <w:sz w:val="20"/>
        <w:lang w:val="en-NZ"/>
      </w:rPr>
      <w:t xml:space="preserve"> of </w:t>
    </w:r>
    <w:r>
      <w:rPr>
        <w:rFonts w:ascii="Arial" w:hAnsi="Arial" w:cs="Arial"/>
        <w:sz w:val="20"/>
        <w:lang w:val="en-NZ"/>
      </w:rPr>
      <w:fldChar w:fldCharType="begin"/>
    </w:r>
    <w:r>
      <w:rPr>
        <w:rFonts w:ascii="Arial" w:hAnsi="Arial" w:cs="Arial"/>
        <w:sz w:val="20"/>
        <w:lang w:val="en-NZ"/>
      </w:rPr>
      <w:instrText xml:space="preserve"> NUMPAGES   \* MERGEFORMAT </w:instrText>
    </w:r>
    <w:r>
      <w:rPr>
        <w:rFonts w:ascii="Arial" w:hAnsi="Arial" w:cs="Arial"/>
        <w:sz w:val="20"/>
        <w:lang w:val="en-NZ"/>
      </w:rPr>
      <w:fldChar w:fldCharType="separate"/>
    </w:r>
    <w:r w:rsidR="00FD7238">
      <w:rPr>
        <w:rFonts w:ascii="Arial" w:hAnsi="Arial" w:cs="Arial"/>
        <w:noProof/>
        <w:sz w:val="20"/>
        <w:lang w:val="en-NZ"/>
      </w:rPr>
      <w:t>7</w:t>
    </w:r>
    <w:r>
      <w:rPr>
        <w:rFonts w:ascii="Arial" w:hAnsi="Arial" w:cs="Arial"/>
        <w:sz w:val="20"/>
        <w:lang w:val="en-NZ"/>
      </w:rPr>
      <w:fldChar w:fldCharType="end"/>
    </w:r>
    <w:r>
      <w:rPr>
        <w:rFonts w:ascii="Arial" w:hAnsi="Arial" w:cs="Arial"/>
        <w:sz w:val="20"/>
        <w:lang w:val="en-NZ"/>
      </w:rPr>
      <w:tab/>
      <w:t>Consumer</w:t>
    </w:r>
    <w:r w:rsidRPr="00EC14EF">
      <w:rPr>
        <w:rFonts w:ascii="Arial" w:hAnsi="Arial" w:cs="Arial"/>
        <w:sz w:val="20"/>
        <w:lang w:val="en-NZ"/>
      </w:rPr>
      <w:t xml:space="preserve"> </w:t>
    </w:r>
    <w:r>
      <w:rPr>
        <w:rFonts w:ascii="Arial" w:hAnsi="Arial" w:cs="Arial"/>
        <w:sz w:val="20"/>
        <w:lang w:val="en-NZ"/>
      </w:rPr>
      <w:t>p</w:t>
    </w:r>
    <w:r w:rsidRPr="00EC14EF">
      <w:rPr>
        <w:rFonts w:ascii="Arial" w:hAnsi="Arial" w:cs="Arial"/>
        <w:sz w:val="20"/>
        <w:lang w:val="en-NZ"/>
      </w:rPr>
      <w:t xml:space="preserve">rice </w:t>
    </w:r>
    <w:r>
      <w:rPr>
        <w:rFonts w:ascii="Arial" w:hAnsi="Arial" w:cs="Arial"/>
        <w:sz w:val="20"/>
        <w:lang w:val="en-NZ"/>
      </w:rPr>
      <w:t>i</w:t>
    </w:r>
    <w:r w:rsidRPr="00EC14EF">
      <w:rPr>
        <w:rFonts w:ascii="Arial" w:hAnsi="Arial" w:cs="Arial"/>
        <w:sz w:val="20"/>
        <w:lang w:val="en-NZ"/>
      </w:rPr>
      <w:t>ndex</w:t>
    </w:r>
    <w:r>
      <w:rPr>
        <w:rFonts w:ascii="Arial" w:hAnsi="Arial" w:cs="Arial"/>
        <w:sz w:val="20"/>
        <w:lang w:val="en-NZ"/>
      </w:rPr>
      <w:t xml:space="preserve"> of Tokelau: September 2018 quarter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2044A" w14:textId="2F2C9F2B" w:rsidR="000C777D" w:rsidRPr="00EC14EF" w:rsidRDefault="000C777D" w:rsidP="008530B5">
    <w:pPr>
      <w:pStyle w:val="Header"/>
      <w:tabs>
        <w:tab w:val="clear" w:pos="4320"/>
        <w:tab w:val="clear" w:pos="8640"/>
        <w:tab w:val="right" w:pos="9498"/>
      </w:tabs>
      <w:rPr>
        <w:rFonts w:ascii="Arial" w:hAnsi="Arial" w:cs="Arial"/>
        <w:sz w:val="20"/>
        <w:lang w:val="en-NZ"/>
      </w:rPr>
    </w:pPr>
    <w:r>
      <w:rPr>
        <w:rFonts w:ascii="Arial" w:hAnsi="Arial" w:cs="Arial"/>
        <w:sz w:val="20"/>
        <w:lang w:val="en-NZ"/>
      </w:rPr>
      <w:t>Consumer</w:t>
    </w:r>
    <w:r w:rsidRPr="00EC14EF">
      <w:rPr>
        <w:rFonts w:ascii="Arial" w:hAnsi="Arial" w:cs="Arial"/>
        <w:sz w:val="20"/>
        <w:lang w:val="en-NZ"/>
      </w:rPr>
      <w:t xml:space="preserve"> </w:t>
    </w:r>
    <w:r>
      <w:rPr>
        <w:rFonts w:ascii="Arial" w:hAnsi="Arial" w:cs="Arial"/>
        <w:sz w:val="20"/>
        <w:lang w:val="en-NZ"/>
      </w:rPr>
      <w:t>p</w:t>
    </w:r>
    <w:r w:rsidRPr="00EC14EF">
      <w:rPr>
        <w:rFonts w:ascii="Arial" w:hAnsi="Arial" w:cs="Arial"/>
        <w:sz w:val="20"/>
        <w:lang w:val="en-NZ"/>
      </w:rPr>
      <w:t xml:space="preserve">rice </w:t>
    </w:r>
    <w:r>
      <w:rPr>
        <w:rFonts w:ascii="Arial" w:hAnsi="Arial" w:cs="Arial"/>
        <w:sz w:val="20"/>
        <w:lang w:val="en-NZ"/>
      </w:rPr>
      <w:t>i</w:t>
    </w:r>
    <w:r w:rsidRPr="00EC14EF">
      <w:rPr>
        <w:rFonts w:ascii="Arial" w:hAnsi="Arial" w:cs="Arial"/>
        <w:sz w:val="20"/>
        <w:lang w:val="en-NZ"/>
      </w:rPr>
      <w:t>ndex</w:t>
    </w:r>
    <w:r>
      <w:rPr>
        <w:rFonts w:ascii="Arial" w:hAnsi="Arial" w:cs="Arial"/>
        <w:sz w:val="20"/>
        <w:lang w:val="en-NZ"/>
      </w:rPr>
      <w:t xml:space="preserve"> of Tokelau: September 2018 quarter</w:t>
    </w:r>
    <w:r>
      <w:rPr>
        <w:rFonts w:ascii="Arial" w:hAnsi="Arial" w:cs="Arial"/>
        <w:sz w:val="20"/>
        <w:lang w:val="en-NZ"/>
      </w:rPr>
      <w:tab/>
      <w:t xml:space="preserve">Page </w:t>
    </w:r>
    <w:r>
      <w:rPr>
        <w:rFonts w:ascii="Arial" w:hAnsi="Arial" w:cs="Arial"/>
        <w:sz w:val="20"/>
        <w:lang w:val="en-NZ"/>
      </w:rPr>
      <w:fldChar w:fldCharType="begin"/>
    </w:r>
    <w:r>
      <w:rPr>
        <w:rFonts w:ascii="Arial" w:hAnsi="Arial" w:cs="Arial"/>
        <w:sz w:val="20"/>
        <w:lang w:val="en-NZ"/>
      </w:rPr>
      <w:instrText xml:space="preserve"> PAGE   \* MERGEFORMAT </w:instrText>
    </w:r>
    <w:r>
      <w:rPr>
        <w:rFonts w:ascii="Arial" w:hAnsi="Arial" w:cs="Arial"/>
        <w:sz w:val="20"/>
        <w:lang w:val="en-NZ"/>
      </w:rPr>
      <w:fldChar w:fldCharType="separate"/>
    </w:r>
    <w:r w:rsidR="00FD7238">
      <w:rPr>
        <w:rFonts w:ascii="Arial" w:hAnsi="Arial" w:cs="Arial"/>
        <w:noProof/>
        <w:sz w:val="20"/>
        <w:lang w:val="en-NZ"/>
      </w:rPr>
      <w:t>7</w:t>
    </w:r>
    <w:r>
      <w:rPr>
        <w:rFonts w:ascii="Arial" w:hAnsi="Arial" w:cs="Arial"/>
        <w:sz w:val="20"/>
        <w:lang w:val="en-NZ"/>
      </w:rPr>
      <w:fldChar w:fldCharType="end"/>
    </w:r>
    <w:r>
      <w:rPr>
        <w:rFonts w:ascii="Arial" w:hAnsi="Arial" w:cs="Arial"/>
        <w:sz w:val="20"/>
        <w:lang w:val="en-NZ"/>
      </w:rPr>
      <w:t xml:space="preserve"> of </w:t>
    </w:r>
    <w:r>
      <w:rPr>
        <w:rFonts w:ascii="Arial" w:hAnsi="Arial" w:cs="Arial"/>
        <w:sz w:val="20"/>
        <w:lang w:val="en-NZ"/>
      </w:rPr>
      <w:fldChar w:fldCharType="begin"/>
    </w:r>
    <w:r>
      <w:rPr>
        <w:rFonts w:ascii="Arial" w:hAnsi="Arial" w:cs="Arial"/>
        <w:sz w:val="20"/>
        <w:lang w:val="en-NZ"/>
      </w:rPr>
      <w:instrText xml:space="preserve"> NUMPAGES   \* MERGEFORMAT </w:instrText>
    </w:r>
    <w:r>
      <w:rPr>
        <w:rFonts w:ascii="Arial" w:hAnsi="Arial" w:cs="Arial"/>
        <w:sz w:val="20"/>
        <w:lang w:val="en-NZ"/>
      </w:rPr>
      <w:fldChar w:fldCharType="separate"/>
    </w:r>
    <w:r w:rsidR="00FD7238">
      <w:rPr>
        <w:rFonts w:ascii="Arial" w:hAnsi="Arial" w:cs="Arial"/>
        <w:noProof/>
        <w:sz w:val="20"/>
        <w:lang w:val="en-NZ"/>
      </w:rPr>
      <w:t>7</w:t>
    </w:r>
    <w:r>
      <w:rPr>
        <w:rFonts w:ascii="Arial" w:hAnsi="Arial" w:cs="Arial"/>
        <w:sz w:val="20"/>
        <w:lang w:val="en-NZ"/>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7F182" w14:textId="4523529C" w:rsidR="000C777D" w:rsidRPr="002E7DAE" w:rsidRDefault="000C777D">
    <w:pPr>
      <w:pStyle w:val="Header"/>
      <w:rPr>
        <w:rFonts w:ascii="Arial" w:hAnsi="Arial" w:cs="Arial"/>
        <w:sz w:val="16"/>
        <w:szCs w:val="16"/>
      </w:rPr>
    </w:pPr>
    <w:r>
      <w:rPr>
        <w:rFonts w:ascii="Arial" w:hAnsi="Arial" w:cs="Arial"/>
        <w:noProof/>
        <w:sz w:val="16"/>
        <w:szCs w:val="16"/>
        <w:lang w:val="en-NZ" w:eastAsia="en-NZ"/>
      </w:rPr>
      <w:drawing>
        <wp:anchor distT="0" distB="0" distL="114300" distR="114300" simplePos="0" relativeHeight="251659264" behindDoc="0" locked="0" layoutInCell="1" allowOverlap="1" wp14:anchorId="22F2A6CC" wp14:editId="30403406">
          <wp:simplePos x="0" y="0"/>
          <wp:positionH relativeFrom="column">
            <wp:posOffset>5113655</wp:posOffset>
          </wp:positionH>
          <wp:positionV relativeFrom="paragraph">
            <wp:posOffset>-88265</wp:posOffset>
          </wp:positionV>
          <wp:extent cx="1373143" cy="160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nding-TNSO-E.png"/>
                  <pic:cNvPicPr/>
                </pic:nvPicPr>
                <pic:blipFill>
                  <a:blip r:embed="rId1">
                    <a:extLst>
                      <a:ext uri="{28A0092B-C50C-407E-A947-70E740481C1C}">
                        <a14:useLocalDpi xmlns:a14="http://schemas.microsoft.com/office/drawing/2010/main" val="0"/>
                      </a:ext>
                    </a:extLst>
                  </a:blip>
                  <a:stretch>
                    <a:fillRect/>
                  </a:stretch>
                </pic:blipFill>
                <pic:spPr>
                  <a:xfrm>
                    <a:off x="0" y="0"/>
                    <a:ext cx="1373143" cy="1602000"/>
                  </a:xfrm>
                  <a:prstGeom prst="rect">
                    <a:avLst/>
                  </a:prstGeom>
                </pic:spPr>
              </pic:pic>
            </a:graphicData>
          </a:graphic>
          <wp14:sizeRelV relativeFrom="margin">
            <wp14:pctHeight>0</wp14:pctHeight>
          </wp14:sizeRelV>
        </wp:anchor>
      </w:drawing>
    </w:r>
    <w:r>
      <w:rPr>
        <w:noProof/>
        <w:lang w:val="en-NZ" w:eastAsia="en-NZ"/>
      </w:rPr>
      <w:drawing>
        <wp:anchor distT="0" distB="0" distL="114300" distR="114300" simplePos="0" relativeHeight="251658240" behindDoc="1" locked="0" layoutInCell="1" allowOverlap="1" wp14:anchorId="4049E329" wp14:editId="48C16BA6">
          <wp:simplePos x="0" y="0"/>
          <wp:positionH relativeFrom="column">
            <wp:posOffset>-874395</wp:posOffset>
          </wp:positionH>
          <wp:positionV relativeFrom="paragraph">
            <wp:posOffset>121285</wp:posOffset>
          </wp:positionV>
          <wp:extent cx="5280660" cy="1249045"/>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80660" cy="1249045"/>
                  </a:xfrm>
                  <a:prstGeom prst="rect">
                    <a:avLst/>
                  </a:prstGeom>
                  <a:noFill/>
                </pic:spPr>
              </pic:pic>
            </a:graphicData>
          </a:graphic>
          <wp14:sizeRelH relativeFrom="page">
            <wp14:pctWidth>0</wp14:pctWidth>
          </wp14:sizeRelH>
          <wp14:sizeRelV relativeFrom="page">
            <wp14:pctHeight>0</wp14:pctHeight>
          </wp14:sizeRelV>
        </wp:anchor>
      </w:drawing>
    </w:r>
    <w:r w:rsidRPr="002E7DAE">
      <w:rPr>
        <w:rFonts w:ascii="Arial" w:hAnsi="Arial" w:cs="Arial"/>
        <w:sz w:val="16"/>
        <w:szCs w:val="16"/>
      </w:rPr>
      <w:t xml:space="preserve">File ID: </w:t>
    </w:r>
    <w:r>
      <w:rPr>
        <w:rFonts w:ascii="Arial" w:hAnsi="Arial" w:cs="Arial"/>
        <w:sz w:val="16"/>
        <w:szCs w:val="16"/>
      </w:rPr>
      <w:t>2018q3-cpi-tokelau-info-release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7820CA"/>
    <w:multiLevelType w:val="hybridMultilevel"/>
    <w:tmpl w:val="4842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646D8"/>
    <w:multiLevelType w:val="hybridMultilevel"/>
    <w:tmpl w:val="202696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B9D3F04"/>
    <w:multiLevelType w:val="hybridMultilevel"/>
    <w:tmpl w:val="6610DD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DDB385A"/>
    <w:multiLevelType w:val="hybridMultilevel"/>
    <w:tmpl w:val="3A8EBEC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15:restartNumberingAfterBreak="0">
    <w:nsid w:val="0F4C0653"/>
    <w:multiLevelType w:val="hybridMultilevel"/>
    <w:tmpl w:val="8376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D462D"/>
    <w:multiLevelType w:val="hybridMultilevel"/>
    <w:tmpl w:val="C28629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FCB0BE7"/>
    <w:multiLevelType w:val="hybridMultilevel"/>
    <w:tmpl w:val="8128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E265C"/>
    <w:multiLevelType w:val="hybridMultilevel"/>
    <w:tmpl w:val="8A56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D184E"/>
    <w:multiLevelType w:val="hybridMultilevel"/>
    <w:tmpl w:val="36A4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B47CA"/>
    <w:multiLevelType w:val="hybridMultilevel"/>
    <w:tmpl w:val="0B10D9AC"/>
    <w:lvl w:ilvl="0" w:tplc="13B2FFDE">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F5B25D7"/>
    <w:multiLevelType w:val="hybridMultilevel"/>
    <w:tmpl w:val="E640DE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0F748F5"/>
    <w:multiLevelType w:val="hybridMultilevel"/>
    <w:tmpl w:val="4C88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736CEE"/>
    <w:multiLevelType w:val="hybridMultilevel"/>
    <w:tmpl w:val="7590AE6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25014055"/>
    <w:multiLevelType w:val="hybridMultilevel"/>
    <w:tmpl w:val="7558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2C1887"/>
    <w:multiLevelType w:val="hybridMultilevel"/>
    <w:tmpl w:val="5816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016C5B"/>
    <w:multiLevelType w:val="hybridMultilevel"/>
    <w:tmpl w:val="4A506F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2FF033B9"/>
    <w:multiLevelType w:val="hybridMultilevel"/>
    <w:tmpl w:val="217C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36121B"/>
    <w:multiLevelType w:val="hybridMultilevel"/>
    <w:tmpl w:val="B898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3A3EA4"/>
    <w:multiLevelType w:val="hybridMultilevel"/>
    <w:tmpl w:val="7500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EC6454"/>
    <w:multiLevelType w:val="hybridMultilevel"/>
    <w:tmpl w:val="61E878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A2F541C"/>
    <w:multiLevelType w:val="hybridMultilevel"/>
    <w:tmpl w:val="255A34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2102E55"/>
    <w:multiLevelType w:val="hybridMultilevel"/>
    <w:tmpl w:val="6C7C47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467667A"/>
    <w:multiLevelType w:val="hybridMultilevel"/>
    <w:tmpl w:val="5EFC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866B36"/>
    <w:multiLevelType w:val="hybridMultilevel"/>
    <w:tmpl w:val="8C06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970774"/>
    <w:multiLevelType w:val="hybridMultilevel"/>
    <w:tmpl w:val="5B8ECC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A666C73"/>
    <w:multiLevelType w:val="hybridMultilevel"/>
    <w:tmpl w:val="8C90E4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8685DE5"/>
    <w:multiLevelType w:val="hybridMultilevel"/>
    <w:tmpl w:val="D20A4914"/>
    <w:lvl w:ilvl="0" w:tplc="14090001">
      <w:start w:val="1"/>
      <w:numFmt w:val="bullet"/>
      <w:lvlText w:val=""/>
      <w:lvlJc w:val="left"/>
      <w:pPr>
        <w:ind w:left="720" w:hanging="360"/>
      </w:pPr>
      <w:rPr>
        <w:rFonts w:ascii="Symbol" w:hAnsi="Symbol" w:hint="default"/>
      </w:rPr>
    </w:lvl>
    <w:lvl w:ilvl="1" w:tplc="0ED0B680">
      <w:numFmt w:val="bullet"/>
      <w:lvlText w:val="•"/>
      <w:lvlJc w:val="left"/>
      <w:pPr>
        <w:ind w:left="1800" w:hanging="720"/>
      </w:pPr>
      <w:rPr>
        <w:rFonts w:ascii="Arial" w:eastAsia="Times New Roman"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E285F6A"/>
    <w:multiLevelType w:val="hybridMultilevel"/>
    <w:tmpl w:val="413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D344F6"/>
    <w:multiLevelType w:val="hybridMultilevel"/>
    <w:tmpl w:val="CBEA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E50343"/>
    <w:multiLevelType w:val="hybridMultilevel"/>
    <w:tmpl w:val="7B98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8566A4"/>
    <w:multiLevelType w:val="hybridMultilevel"/>
    <w:tmpl w:val="E7D207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D9E21F4"/>
    <w:multiLevelType w:val="multilevel"/>
    <w:tmpl w:val="DC10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707DFB"/>
    <w:multiLevelType w:val="hybridMultilevel"/>
    <w:tmpl w:val="B780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F254AE"/>
    <w:multiLevelType w:val="hybridMultilevel"/>
    <w:tmpl w:val="C6DA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C211C2"/>
    <w:multiLevelType w:val="hybridMultilevel"/>
    <w:tmpl w:val="0AEE86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CD37262"/>
    <w:multiLevelType w:val="hybridMultilevel"/>
    <w:tmpl w:val="EA54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3C7E19"/>
    <w:multiLevelType w:val="hybridMultilevel"/>
    <w:tmpl w:val="58FC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BE6EF6"/>
    <w:multiLevelType w:val="hybridMultilevel"/>
    <w:tmpl w:val="4CBE9A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1"/>
  </w:num>
  <w:num w:numId="4">
    <w:abstractNumId w:val="29"/>
  </w:num>
  <w:num w:numId="5">
    <w:abstractNumId w:val="15"/>
  </w:num>
  <w:num w:numId="6">
    <w:abstractNumId w:val="2"/>
  </w:num>
  <w:num w:numId="7">
    <w:abstractNumId w:val="31"/>
  </w:num>
  <w:num w:numId="8">
    <w:abstractNumId w:val="38"/>
  </w:num>
  <w:num w:numId="9">
    <w:abstractNumId w:val="9"/>
  </w:num>
  <w:num w:numId="10">
    <w:abstractNumId w:val="24"/>
  </w:num>
  <w:num w:numId="11">
    <w:abstractNumId w:val="20"/>
  </w:num>
  <w:num w:numId="12">
    <w:abstractNumId w:val="16"/>
  </w:num>
  <w:num w:numId="13">
    <w:abstractNumId w:val="30"/>
  </w:num>
  <w:num w:numId="14">
    <w:abstractNumId w:val="19"/>
  </w:num>
  <w:num w:numId="15">
    <w:abstractNumId w:val="35"/>
  </w:num>
  <w:num w:numId="16">
    <w:abstractNumId w:val="37"/>
  </w:num>
  <w:num w:numId="17">
    <w:abstractNumId w:val="6"/>
  </w:num>
  <w:num w:numId="18">
    <w:abstractNumId w:val="8"/>
  </w:num>
  <w:num w:numId="19">
    <w:abstractNumId w:val="17"/>
  </w:num>
  <w:num w:numId="20">
    <w:abstractNumId w:val="14"/>
  </w:num>
  <w:num w:numId="21">
    <w:abstractNumId w:val="10"/>
  </w:num>
  <w:num w:numId="22">
    <w:abstractNumId w:val="11"/>
  </w:num>
  <w:num w:numId="23">
    <w:abstractNumId w:val="34"/>
  </w:num>
  <w:num w:numId="24">
    <w:abstractNumId w:val="5"/>
  </w:num>
  <w:num w:numId="25">
    <w:abstractNumId w:val="13"/>
  </w:num>
  <w:num w:numId="26">
    <w:abstractNumId w:val="18"/>
  </w:num>
  <w:num w:numId="27">
    <w:abstractNumId w:val="25"/>
  </w:num>
  <w:num w:numId="28">
    <w:abstractNumId w:val="21"/>
  </w:num>
  <w:num w:numId="29">
    <w:abstractNumId w:val="4"/>
  </w:num>
  <w:num w:numId="30">
    <w:abstractNumId w:val="36"/>
  </w:num>
  <w:num w:numId="31">
    <w:abstractNumId w:val="32"/>
  </w:num>
  <w:num w:numId="32">
    <w:abstractNumId w:val="7"/>
  </w:num>
  <w:num w:numId="33">
    <w:abstractNumId w:val="39"/>
  </w:num>
  <w:num w:numId="34">
    <w:abstractNumId w:val="27"/>
  </w:num>
  <w:num w:numId="35">
    <w:abstractNumId w:val="3"/>
  </w:num>
  <w:num w:numId="36">
    <w:abstractNumId w:val="22"/>
  </w:num>
  <w:num w:numId="37">
    <w:abstractNumId w:val="23"/>
  </w:num>
  <w:num w:numId="38">
    <w:abstractNumId w:val="28"/>
  </w:num>
  <w:num w:numId="39">
    <w:abstractNumId w:val="1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09"/>
    <w:rsid w:val="000014DD"/>
    <w:rsid w:val="00001DB2"/>
    <w:rsid w:val="0000230D"/>
    <w:rsid w:val="00002A16"/>
    <w:rsid w:val="000057D1"/>
    <w:rsid w:val="00005EB9"/>
    <w:rsid w:val="00006E73"/>
    <w:rsid w:val="00007D97"/>
    <w:rsid w:val="0001192D"/>
    <w:rsid w:val="00011E56"/>
    <w:rsid w:val="00011F4B"/>
    <w:rsid w:val="00014195"/>
    <w:rsid w:val="00015C7C"/>
    <w:rsid w:val="00017698"/>
    <w:rsid w:val="000207C9"/>
    <w:rsid w:val="00021026"/>
    <w:rsid w:val="00021CA0"/>
    <w:rsid w:val="000302D1"/>
    <w:rsid w:val="00031423"/>
    <w:rsid w:val="00034FEC"/>
    <w:rsid w:val="0004032A"/>
    <w:rsid w:val="0004046B"/>
    <w:rsid w:val="000427D2"/>
    <w:rsid w:val="00042FC8"/>
    <w:rsid w:val="00042FDB"/>
    <w:rsid w:val="00043E3B"/>
    <w:rsid w:val="00045600"/>
    <w:rsid w:val="000460C7"/>
    <w:rsid w:val="00047AD1"/>
    <w:rsid w:val="00053FCC"/>
    <w:rsid w:val="0005561C"/>
    <w:rsid w:val="00057F95"/>
    <w:rsid w:val="00061EEE"/>
    <w:rsid w:val="000658A2"/>
    <w:rsid w:val="00065B29"/>
    <w:rsid w:val="00066CE2"/>
    <w:rsid w:val="00067DE9"/>
    <w:rsid w:val="000722BA"/>
    <w:rsid w:val="00072C99"/>
    <w:rsid w:val="0007696A"/>
    <w:rsid w:val="00080881"/>
    <w:rsid w:val="0008193E"/>
    <w:rsid w:val="00081AC3"/>
    <w:rsid w:val="000823B1"/>
    <w:rsid w:val="000826C8"/>
    <w:rsid w:val="0008564C"/>
    <w:rsid w:val="00085CF0"/>
    <w:rsid w:val="000879E8"/>
    <w:rsid w:val="00092834"/>
    <w:rsid w:val="00093175"/>
    <w:rsid w:val="0009529B"/>
    <w:rsid w:val="00095DC0"/>
    <w:rsid w:val="00096679"/>
    <w:rsid w:val="000969FE"/>
    <w:rsid w:val="000973BA"/>
    <w:rsid w:val="000A0A20"/>
    <w:rsid w:val="000A0CC5"/>
    <w:rsid w:val="000A10BF"/>
    <w:rsid w:val="000A34C6"/>
    <w:rsid w:val="000A3773"/>
    <w:rsid w:val="000A3871"/>
    <w:rsid w:val="000A395E"/>
    <w:rsid w:val="000A4765"/>
    <w:rsid w:val="000A68B4"/>
    <w:rsid w:val="000A6F12"/>
    <w:rsid w:val="000A7AD9"/>
    <w:rsid w:val="000B0327"/>
    <w:rsid w:val="000B2DB1"/>
    <w:rsid w:val="000B3283"/>
    <w:rsid w:val="000B53F8"/>
    <w:rsid w:val="000B55E5"/>
    <w:rsid w:val="000B7394"/>
    <w:rsid w:val="000B73C9"/>
    <w:rsid w:val="000C0DDD"/>
    <w:rsid w:val="000C1309"/>
    <w:rsid w:val="000C1F38"/>
    <w:rsid w:val="000C23CB"/>
    <w:rsid w:val="000C2CB2"/>
    <w:rsid w:val="000C399E"/>
    <w:rsid w:val="000C45B3"/>
    <w:rsid w:val="000C525A"/>
    <w:rsid w:val="000C5BAF"/>
    <w:rsid w:val="000C6A08"/>
    <w:rsid w:val="000C777D"/>
    <w:rsid w:val="000D0738"/>
    <w:rsid w:val="000D1E9C"/>
    <w:rsid w:val="000D36F5"/>
    <w:rsid w:val="000D36F6"/>
    <w:rsid w:val="000D3FB2"/>
    <w:rsid w:val="000D53C3"/>
    <w:rsid w:val="000D6481"/>
    <w:rsid w:val="000D6DCF"/>
    <w:rsid w:val="000D7A64"/>
    <w:rsid w:val="000E303C"/>
    <w:rsid w:val="000E38FD"/>
    <w:rsid w:val="000E6347"/>
    <w:rsid w:val="000E662D"/>
    <w:rsid w:val="000E746B"/>
    <w:rsid w:val="000F0814"/>
    <w:rsid w:val="000F0D2E"/>
    <w:rsid w:val="000F0D79"/>
    <w:rsid w:val="000F5AD3"/>
    <w:rsid w:val="000F7121"/>
    <w:rsid w:val="000F7B59"/>
    <w:rsid w:val="00100CA3"/>
    <w:rsid w:val="00101885"/>
    <w:rsid w:val="00102CFE"/>
    <w:rsid w:val="00103278"/>
    <w:rsid w:val="00105271"/>
    <w:rsid w:val="001075D1"/>
    <w:rsid w:val="0011297F"/>
    <w:rsid w:val="00112ADA"/>
    <w:rsid w:val="00121C89"/>
    <w:rsid w:val="001240DC"/>
    <w:rsid w:val="00125DDC"/>
    <w:rsid w:val="00126653"/>
    <w:rsid w:val="00127CF3"/>
    <w:rsid w:val="00130368"/>
    <w:rsid w:val="0013134E"/>
    <w:rsid w:val="001314B5"/>
    <w:rsid w:val="00133FCA"/>
    <w:rsid w:val="00136189"/>
    <w:rsid w:val="00136F08"/>
    <w:rsid w:val="001378D9"/>
    <w:rsid w:val="00137F7F"/>
    <w:rsid w:val="0014122A"/>
    <w:rsid w:val="00141724"/>
    <w:rsid w:val="001425B3"/>
    <w:rsid w:val="001448BC"/>
    <w:rsid w:val="00146E42"/>
    <w:rsid w:val="001472E8"/>
    <w:rsid w:val="00147C6F"/>
    <w:rsid w:val="00151055"/>
    <w:rsid w:val="00153755"/>
    <w:rsid w:val="00153AA6"/>
    <w:rsid w:val="00154CEF"/>
    <w:rsid w:val="00155520"/>
    <w:rsid w:val="0015707C"/>
    <w:rsid w:val="00160B59"/>
    <w:rsid w:val="001610A9"/>
    <w:rsid w:val="00162A1D"/>
    <w:rsid w:val="00162AE9"/>
    <w:rsid w:val="00163ED1"/>
    <w:rsid w:val="00167454"/>
    <w:rsid w:val="00170034"/>
    <w:rsid w:val="00170BD5"/>
    <w:rsid w:val="00170FDC"/>
    <w:rsid w:val="001719F6"/>
    <w:rsid w:val="001736EA"/>
    <w:rsid w:val="00174A90"/>
    <w:rsid w:val="0017505D"/>
    <w:rsid w:val="00175BCF"/>
    <w:rsid w:val="00175C1D"/>
    <w:rsid w:val="0018276B"/>
    <w:rsid w:val="00182B66"/>
    <w:rsid w:val="001851AC"/>
    <w:rsid w:val="00185368"/>
    <w:rsid w:val="001874E2"/>
    <w:rsid w:val="0018761B"/>
    <w:rsid w:val="001936D7"/>
    <w:rsid w:val="001948CD"/>
    <w:rsid w:val="001952BA"/>
    <w:rsid w:val="00197546"/>
    <w:rsid w:val="00197E2B"/>
    <w:rsid w:val="00197FA5"/>
    <w:rsid w:val="001A100A"/>
    <w:rsid w:val="001A270E"/>
    <w:rsid w:val="001A4123"/>
    <w:rsid w:val="001A43C9"/>
    <w:rsid w:val="001A55D1"/>
    <w:rsid w:val="001A59EF"/>
    <w:rsid w:val="001B234C"/>
    <w:rsid w:val="001B4203"/>
    <w:rsid w:val="001B6316"/>
    <w:rsid w:val="001B69B1"/>
    <w:rsid w:val="001C041F"/>
    <w:rsid w:val="001C2FCE"/>
    <w:rsid w:val="001C469B"/>
    <w:rsid w:val="001C5517"/>
    <w:rsid w:val="001C64CF"/>
    <w:rsid w:val="001D0FE4"/>
    <w:rsid w:val="001D2A79"/>
    <w:rsid w:val="001D2F30"/>
    <w:rsid w:val="001D5018"/>
    <w:rsid w:val="001E2472"/>
    <w:rsid w:val="001E44AC"/>
    <w:rsid w:val="001E567B"/>
    <w:rsid w:val="001E5A3C"/>
    <w:rsid w:val="001E65BA"/>
    <w:rsid w:val="001E711A"/>
    <w:rsid w:val="001E799E"/>
    <w:rsid w:val="001E7A1D"/>
    <w:rsid w:val="001F06E1"/>
    <w:rsid w:val="001F0BEA"/>
    <w:rsid w:val="001F0E88"/>
    <w:rsid w:val="001F6BAA"/>
    <w:rsid w:val="002003F0"/>
    <w:rsid w:val="00200B6C"/>
    <w:rsid w:val="002017BB"/>
    <w:rsid w:val="002042C2"/>
    <w:rsid w:val="00204AE9"/>
    <w:rsid w:val="00205E3E"/>
    <w:rsid w:val="00210DCF"/>
    <w:rsid w:val="0021178A"/>
    <w:rsid w:val="00212787"/>
    <w:rsid w:val="00215BB1"/>
    <w:rsid w:val="00217938"/>
    <w:rsid w:val="00221BAB"/>
    <w:rsid w:val="00224BE4"/>
    <w:rsid w:val="002323E9"/>
    <w:rsid w:val="00232F62"/>
    <w:rsid w:val="002354E3"/>
    <w:rsid w:val="0023670C"/>
    <w:rsid w:val="0024045B"/>
    <w:rsid w:val="00240BFF"/>
    <w:rsid w:val="00241013"/>
    <w:rsid w:val="00241236"/>
    <w:rsid w:val="00242EEE"/>
    <w:rsid w:val="002431A8"/>
    <w:rsid w:val="00243954"/>
    <w:rsid w:val="00245106"/>
    <w:rsid w:val="00245C75"/>
    <w:rsid w:val="002464D9"/>
    <w:rsid w:val="002471C2"/>
    <w:rsid w:val="00250136"/>
    <w:rsid w:val="002508A0"/>
    <w:rsid w:val="002543A7"/>
    <w:rsid w:val="00254809"/>
    <w:rsid w:val="00255D1F"/>
    <w:rsid w:val="00256904"/>
    <w:rsid w:val="002600C4"/>
    <w:rsid w:val="002617A4"/>
    <w:rsid w:val="00262427"/>
    <w:rsid w:val="002636E2"/>
    <w:rsid w:val="00263F65"/>
    <w:rsid w:val="002645AD"/>
    <w:rsid w:val="0026528F"/>
    <w:rsid w:val="002720C3"/>
    <w:rsid w:val="00272361"/>
    <w:rsid w:val="00272496"/>
    <w:rsid w:val="002727C3"/>
    <w:rsid w:val="002779C4"/>
    <w:rsid w:val="00277EB0"/>
    <w:rsid w:val="00280398"/>
    <w:rsid w:val="00280A17"/>
    <w:rsid w:val="00281D26"/>
    <w:rsid w:val="00282CC6"/>
    <w:rsid w:val="00283BA2"/>
    <w:rsid w:val="00283F6A"/>
    <w:rsid w:val="00284AFD"/>
    <w:rsid w:val="00286F10"/>
    <w:rsid w:val="0028798B"/>
    <w:rsid w:val="002906AC"/>
    <w:rsid w:val="002911A2"/>
    <w:rsid w:val="00291938"/>
    <w:rsid w:val="00292260"/>
    <w:rsid w:val="00293AE6"/>
    <w:rsid w:val="002A04AE"/>
    <w:rsid w:val="002A089A"/>
    <w:rsid w:val="002A21DC"/>
    <w:rsid w:val="002A292E"/>
    <w:rsid w:val="002A397D"/>
    <w:rsid w:val="002A4FF9"/>
    <w:rsid w:val="002A5DC3"/>
    <w:rsid w:val="002A6064"/>
    <w:rsid w:val="002A714F"/>
    <w:rsid w:val="002A7267"/>
    <w:rsid w:val="002A787F"/>
    <w:rsid w:val="002B069C"/>
    <w:rsid w:val="002B1ABA"/>
    <w:rsid w:val="002B57D2"/>
    <w:rsid w:val="002C1712"/>
    <w:rsid w:val="002C3377"/>
    <w:rsid w:val="002C39B1"/>
    <w:rsid w:val="002C5B1D"/>
    <w:rsid w:val="002D09A8"/>
    <w:rsid w:val="002D317C"/>
    <w:rsid w:val="002D32FC"/>
    <w:rsid w:val="002D3C49"/>
    <w:rsid w:val="002D4AA9"/>
    <w:rsid w:val="002D56BD"/>
    <w:rsid w:val="002D5E32"/>
    <w:rsid w:val="002D6874"/>
    <w:rsid w:val="002D6A73"/>
    <w:rsid w:val="002D74E9"/>
    <w:rsid w:val="002D7561"/>
    <w:rsid w:val="002E1539"/>
    <w:rsid w:val="002E35E6"/>
    <w:rsid w:val="002E3791"/>
    <w:rsid w:val="002E43A3"/>
    <w:rsid w:val="002E5F4F"/>
    <w:rsid w:val="002E63E6"/>
    <w:rsid w:val="002E6557"/>
    <w:rsid w:val="002E7AF0"/>
    <w:rsid w:val="002E7DAE"/>
    <w:rsid w:val="002E7E26"/>
    <w:rsid w:val="002F0C45"/>
    <w:rsid w:val="002F2818"/>
    <w:rsid w:val="002F324C"/>
    <w:rsid w:val="002F4A9D"/>
    <w:rsid w:val="003007CB"/>
    <w:rsid w:val="0030088B"/>
    <w:rsid w:val="00302EDF"/>
    <w:rsid w:val="00304C14"/>
    <w:rsid w:val="003067BA"/>
    <w:rsid w:val="00306920"/>
    <w:rsid w:val="003074D6"/>
    <w:rsid w:val="00312FF9"/>
    <w:rsid w:val="00313815"/>
    <w:rsid w:val="00315D92"/>
    <w:rsid w:val="003177A4"/>
    <w:rsid w:val="00321D0E"/>
    <w:rsid w:val="00321F98"/>
    <w:rsid w:val="00322270"/>
    <w:rsid w:val="003229BB"/>
    <w:rsid w:val="0032327D"/>
    <w:rsid w:val="003233AE"/>
    <w:rsid w:val="00326916"/>
    <w:rsid w:val="00327094"/>
    <w:rsid w:val="00330696"/>
    <w:rsid w:val="00335942"/>
    <w:rsid w:val="0033689E"/>
    <w:rsid w:val="003402B8"/>
    <w:rsid w:val="00340460"/>
    <w:rsid w:val="003405D8"/>
    <w:rsid w:val="0034082F"/>
    <w:rsid w:val="003418E1"/>
    <w:rsid w:val="00342617"/>
    <w:rsid w:val="00344C40"/>
    <w:rsid w:val="00345643"/>
    <w:rsid w:val="0034647E"/>
    <w:rsid w:val="00346E0A"/>
    <w:rsid w:val="003475E1"/>
    <w:rsid w:val="00347F99"/>
    <w:rsid w:val="00352711"/>
    <w:rsid w:val="00353981"/>
    <w:rsid w:val="003573D3"/>
    <w:rsid w:val="003609A2"/>
    <w:rsid w:val="00364B08"/>
    <w:rsid w:val="003671BE"/>
    <w:rsid w:val="003713C3"/>
    <w:rsid w:val="00372A93"/>
    <w:rsid w:val="003749B4"/>
    <w:rsid w:val="0037631B"/>
    <w:rsid w:val="003802AA"/>
    <w:rsid w:val="003805A6"/>
    <w:rsid w:val="00381059"/>
    <w:rsid w:val="003840B9"/>
    <w:rsid w:val="00385EB4"/>
    <w:rsid w:val="0038621A"/>
    <w:rsid w:val="0039154B"/>
    <w:rsid w:val="00392757"/>
    <w:rsid w:val="00393829"/>
    <w:rsid w:val="00394456"/>
    <w:rsid w:val="00397358"/>
    <w:rsid w:val="003975EA"/>
    <w:rsid w:val="003A00B4"/>
    <w:rsid w:val="003A3C50"/>
    <w:rsid w:val="003A4812"/>
    <w:rsid w:val="003A5A8D"/>
    <w:rsid w:val="003A7706"/>
    <w:rsid w:val="003B0F0A"/>
    <w:rsid w:val="003B4841"/>
    <w:rsid w:val="003B5CDC"/>
    <w:rsid w:val="003C2520"/>
    <w:rsid w:val="003C30D5"/>
    <w:rsid w:val="003C50D4"/>
    <w:rsid w:val="003C5888"/>
    <w:rsid w:val="003C72E8"/>
    <w:rsid w:val="003C7709"/>
    <w:rsid w:val="003C77E2"/>
    <w:rsid w:val="003D0096"/>
    <w:rsid w:val="003D0BAB"/>
    <w:rsid w:val="003D35F2"/>
    <w:rsid w:val="003D6FE6"/>
    <w:rsid w:val="003E108D"/>
    <w:rsid w:val="003E28D8"/>
    <w:rsid w:val="003E3E70"/>
    <w:rsid w:val="003E51BF"/>
    <w:rsid w:val="003E66C5"/>
    <w:rsid w:val="003E6AE5"/>
    <w:rsid w:val="003F0CE9"/>
    <w:rsid w:val="003F23A0"/>
    <w:rsid w:val="003F2473"/>
    <w:rsid w:val="003F2DBC"/>
    <w:rsid w:val="003F38EC"/>
    <w:rsid w:val="003F3A78"/>
    <w:rsid w:val="003F3D99"/>
    <w:rsid w:val="003F5F77"/>
    <w:rsid w:val="004001B8"/>
    <w:rsid w:val="00400D54"/>
    <w:rsid w:val="00400E70"/>
    <w:rsid w:val="00401045"/>
    <w:rsid w:val="00401C44"/>
    <w:rsid w:val="0040264C"/>
    <w:rsid w:val="004030AD"/>
    <w:rsid w:val="004052E3"/>
    <w:rsid w:val="004057A8"/>
    <w:rsid w:val="0041367E"/>
    <w:rsid w:val="00415E5B"/>
    <w:rsid w:val="00416F71"/>
    <w:rsid w:val="0041788F"/>
    <w:rsid w:val="00417D91"/>
    <w:rsid w:val="00420E7B"/>
    <w:rsid w:val="004219B6"/>
    <w:rsid w:val="0042466B"/>
    <w:rsid w:val="00425546"/>
    <w:rsid w:val="00427FEC"/>
    <w:rsid w:val="0043072F"/>
    <w:rsid w:val="00433B5B"/>
    <w:rsid w:val="00433BFD"/>
    <w:rsid w:val="004341F3"/>
    <w:rsid w:val="00434345"/>
    <w:rsid w:val="00434834"/>
    <w:rsid w:val="0043492F"/>
    <w:rsid w:val="00434D72"/>
    <w:rsid w:val="00434DE2"/>
    <w:rsid w:val="00437006"/>
    <w:rsid w:val="00441064"/>
    <w:rsid w:val="00443E8F"/>
    <w:rsid w:val="004442D4"/>
    <w:rsid w:val="0044434D"/>
    <w:rsid w:val="00447B55"/>
    <w:rsid w:val="00452C6B"/>
    <w:rsid w:val="00452CA1"/>
    <w:rsid w:val="0045739B"/>
    <w:rsid w:val="0046090C"/>
    <w:rsid w:val="00460987"/>
    <w:rsid w:val="00462181"/>
    <w:rsid w:val="004627E7"/>
    <w:rsid w:val="004649D3"/>
    <w:rsid w:val="00466287"/>
    <w:rsid w:val="00466A0E"/>
    <w:rsid w:val="00467C16"/>
    <w:rsid w:val="00470BD6"/>
    <w:rsid w:val="00473D1A"/>
    <w:rsid w:val="00473F26"/>
    <w:rsid w:val="0047452C"/>
    <w:rsid w:val="00475D06"/>
    <w:rsid w:val="00476E65"/>
    <w:rsid w:val="0047793E"/>
    <w:rsid w:val="00477C4E"/>
    <w:rsid w:val="00482889"/>
    <w:rsid w:val="00482934"/>
    <w:rsid w:val="00483748"/>
    <w:rsid w:val="0048500E"/>
    <w:rsid w:val="00486002"/>
    <w:rsid w:val="00486D49"/>
    <w:rsid w:val="00491C29"/>
    <w:rsid w:val="0049233F"/>
    <w:rsid w:val="0049265D"/>
    <w:rsid w:val="00493D19"/>
    <w:rsid w:val="004951F2"/>
    <w:rsid w:val="00495481"/>
    <w:rsid w:val="00495829"/>
    <w:rsid w:val="00495CAE"/>
    <w:rsid w:val="00495D7E"/>
    <w:rsid w:val="0049628B"/>
    <w:rsid w:val="0049781A"/>
    <w:rsid w:val="004A154F"/>
    <w:rsid w:val="004A17C7"/>
    <w:rsid w:val="004A19B0"/>
    <w:rsid w:val="004A22FF"/>
    <w:rsid w:val="004A4EDD"/>
    <w:rsid w:val="004A5148"/>
    <w:rsid w:val="004A60E3"/>
    <w:rsid w:val="004A6F9A"/>
    <w:rsid w:val="004A72B4"/>
    <w:rsid w:val="004B0AF6"/>
    <w:rsid w:val="004B1130"/>
    <w:rsid w:val="004B196B"/>
    <w:rsid w:val="004B502E"/>
    <w:rsid w:val="004B5CED"/>
    <w:rsid w:val="004B6F3E"/>
    <w:rsid w:val="004C2CB0"/>
    <w:rsid w:val="004C4816"/>
    <w:rsid w:val="004C48CE"/>
    <w:rsid w:val="004C5692"/>
    <w:rsid w:val="004C7C9C"/>
    <w:rsid w:val="004D1587"/>
    <w:rsid w:val="004D2F4E"/>
    <w:rsid w:val="004D5EB8"/>
    <w:rsid w:val="004E0E6C"/>
    <w:rsid w:val="004E294B"/>
    <w:rsid w:val="004E37EB"/>
    <w:rsid w:val="004E3A71"/>
    <w:rsid w:val="004E433C"/>
    <w:rsid w:val="004E51E7"/>
    <w:rsid w:val="004F1984"/>
    <w:rsid w:val="004F29BC"/>
    <w:rsid w:val="004F302D"/>
    <w:rsid w:val="004F411C"/>
    <w:rsid w:val="004F5A4D"/>
    <w:rsid w:val="004F609D"/>
    <w:rsid w:val="004F6439"/>
    <w:rsid w:val="004F7513"/>
    <w:rsid w:val="004F770B"/>
    <w:rsid w:val="00501C17"/>
    <w:rsid w:val="00505E69"/>
    <w:rsid w:val="00514E9B"/>
    <w:rsid w:val="005201F0"/>
    <w:rsid w:val="00522271"/>
    <w:rsid w:val="00526522"/>
    <w:rsid w:val="005304E2"/>
    <w:rsid w:val="00532D7A"/>
    <w:rsid w:val="00534324"/>
    <w:rsid w:val="00536263"/>
    <w:rsid w:val="00537087"/>
    <w:rsid w:val="0053741C"/>
    <w:rsid w:val="00540529"/>
    <w:rsid w:val="00540FAF"/>
    <w:rsid w:val="00542242"/>
    <w:rsid w:val="005442A5"/>
    <w:rsid w:val="00544BE4"/>
    <w:rsid w:val="005459CF"/>
    <w:rsid w:val="005472D0"/>
    <w:rsid w:val="0055395F"/>
    <w:rsid w:val="005539F5"/>
    <w:rsid w:val="00554529"/>
    <w:rsid w:val="00557DC2"/>
    <w:rsid w:val="00560BD0"/>
    <w:rsid w:val="00561B39"/>
    <w:rsid w:val="00563756"/>
    <w:rsid w:val="00565B49"/>
    <w:rsid w:val="005672EF"/>
    <w:rsid w:val="00573C36"/>
    <w:rsid w:val="005742F8"/>
    <w:rsid w:val="005807C5"/>
    <w:rsid w:val="00581340"/>
    <w:rsid w:val="00583D19"/>
    <w:rsid w:val="00584567"/>
    <w:rsid w:val="00585DAF"/>
    <w:rsid w:val="0058730D"/>
    <w:rsid w:val="0059162A"/>
    <w:rsid w:val="00591E83"/>
    <w:rsid w:val="00592C2E"/>
    <w:rsid w:val="00593F3A"/>
    <w:rsid w:val="00595858"/>
    <w:rsid w:val="00595D78"/>
    <w:rsid w:val="005A031A"/>
    <w:rsid w:val="005A1178"/>
    <w:rsid w:val="005A1AF8"/>
    <w:rsid w:val="005A1D05"/>
    <w:rsid w:val="005A1E0B"/>
    <w:rsid w:val="005A288C"/>
    <w:rsid w:val="005A2B98"/>
    <w:rsid w:val="005A2CD3"/>
    <w:rsid w:val="005A4009"/>
    <w:rsid w:val="005A4520"/>
    <w:rsid w:val="005A46C0"/>
    <w:rsid w:val="005A62A8"/>
    <w:rsid w:val="005A6D77"/>
    <w:rsid w:val="005B0194"/>
    <w:rsid w:val="005B2D40"/>
    <w:rsid w:val="005B4405"/>
    <w:rsid w:val="005B4CC1"/>
    <w:rsid w:val="005B769C"/>
    <w:rsid w:val="005C229F"/>
    <w:rsid w:val="005C2853"/>
    <w:rsid w:val="005C35ED"/>
    <w:rsid w:val="005C3750"/>
    <w:rsid w:val="005C6873"/>
    <w:rsid w:val="005C6BB3"/>
    <w:rsid w:val="005C6E86"/>
    <w:rsid w:val="005D1515"/>
    <w:rsid w:val="005D269B"/>
    <w:rsid w:val="005D35CB"/>
    <w:rsid w:val="005D4647"/>
    <w:rsid w:val="005D5261"/>
    <w:rsid w:val="005D6685"/>
    <w:rsid w:val="005D6B75"/>
    <w:rsid w:val="005D785F"/>
    <w:rsid w:val="005E08F0"/>
    <w:rsid w:val="005E0CA9"/>
    <w:rsid w:val="005E1AD3"/>
    <w:rsid w:val="005E22CA"/>
    <w:rsid w:val="005E41A6"/>
    <w:rsid w:val="005E6AF4"/>
    <w:rsid w:val="005F18C2"/>
    <w:rsid w:val="005F2977"/>
    <w:rsid w:val="005F2FDE"/>
    <w:rsid w:val="005F59B0"/>
    <w:rsid w:val="005F72B7"/>
    <w:rsid w:val="005F795A"/>
    <w:rsid w:val="006001B8"/>
    <w:rsid w:val="00601A3C"/>
    <w:rsid w:val="00602DC1"/>
    <w:rsid w:val="006060ED"/>
    <w:rsid w:val="00606B1E"/>
    <w:rsid w:val="00607CB4"/>
    <w:rsid w:val="006120F6"/>
    <w:rsid w:val="006132C4"/>
    <w:rsid w:val="00617D81"/>
    <w:rsid w:val="00622849"/>
    <w:rsid w:val="006248B2"/>
    <w:rsid w:val="006257B1"/>
    <w:rsid w:val="00625B6F"/>
    <w:rsid w:val="006327D0"/>
    <w:rsid w:val="00636D90"/>
    <w:rsid w:val="0063726A"/>
    <w:rsid w:val="00641CF9"/>
    <w:rsid w:val="00642DBD"/>
    <w:rsid w:val="00643DEA"/>
    <w:rsid w:val="00644055"/>
    <w:rsid w:val="00644635"/>
    <w:rsid w:val="00644995"/>
    <w:rsid w:val="00647A61"/>
    <w:rsid w:val="00647ADA"/>
    <w:rsid w:val="00651F39"/>
    <w:rsid w:val="00660907"/>
    <w:rsid w:val="006616A3"/>
    <w:rsid w:val="00661BF3"/>
    <w:rsid w:val="0066409A"/>
    <w:rsid w:val="006656AF"/>
    <w:rsid w:val="00665CD9"/>
    <w:rsid w:val="006666C3"/>
    <w:rsid w:val="00667ED6"/>
    <w:rsid w:val="006736C5"/>
    <w:rsid w:val="006748A4"/>
    <w:rsid w:val="00676B20"/>
    <w:rsid w:val="0067756F"/>
    <w:rsid w:val="00681F87"/>
    <w:rsid w:val="00682379"/>
    <w:rsid w:val="006826EA"/>
    <w:rsid w:val="00682A92"/>
    <w:rsid w:val="00683C59"/>
    <w:rsid w:val="00692953"/>
    <w:rsid w:val="00692977"/>
    <w:rsid w:val="00697DA8"/>
    <w:rsid w:val="006A3AB8"/>
    <w:rsid w:val="006A4348"/>
    <w:rsid w:val="006A586F"/>
    <w:rsid w:val="006A5F81"/>
    <w:rsid w:val="006B2F3F"/>
    <w:rsid w:val="006B33FF"/>
    <w:rsid w:val="006B5D2A"/>
    <w:rsid w:val="006B6AF5"/>
    <w:rsid w:val="006B7F87"/>
    <w:rsid w:val="006C2477"/>
    <w:rsid w:val="006C3321"/>
    <w:rsid w:val="006C377E"/>
    <w:rsid w:val="006C594C"/>
    <w:rsid w:val="006C5F23"/>
    <w:rsid w:val="006C753B"/>
    <w:rsid w:val="006C7654"/>
    <w:rsid w:val="006D141F"/>
    <w:rsid w:val="006D235F"/>
    <w:rsid w:val="006D2AC0"/>
    <w:rsid w:val="006D361B"/>
    <w:rsid w:val="006D3765"/>
    <w:rsid w:val="006D63DD"/>
    <w:rsid w:val="006D73E9"/>
    <w:rsid w:val="006E01B2"/>
    <w:rsid w:val="006E0E7A"/>
    <w:rsid w:val="006E1723"/>
    <w:rsid w:val="006E1877"/>
    <w:rsid w:val="006E2787"/>
    <w:rsid w:val="006E3DE1"/>
    <w:rsid w:val="006E4BC1"/>
    <w:rsid w:val="006E5D37"/>
    <w:rsid w:val="006F2B4F"/>
    <w:rsid w:val="006F2D50"/>
    <w:rsid w:val="006F2E2B"/>
    <w:rsid w:val="006F2FE7"/>
    <w:rsid w:val="006F36C9"/>
    <w:rsid w:val="006F3FC4"/>
    <w:rsid w:val="006F6B1C"/>
    <w:rsid w:val="006F7BF5"/>
    <w:rsid w:val="006F7E72"/>
    <w:rsid w:val="00700815"/>
    <w:rsid w:val="007010CB"/>
    <w:rsid w:val="00701760"/>
    <w:rsid w:val="0070355B"/>
    <w:rsid w:val="007075E9"/>
    <w:rsid w:val="00710843"/>
    <w:rsid w:val="00711255"/>
    <w:rsid w:val="00715A07"/>
    <w:rsid w:val="00717828"/>
    <w:rsid w:val="007202D3"/>
    <w:rsid w:val="007205FA"/>
    <w:rsid w:val="007228DC"/>
    <w:rsid w:val="0072291E"/>
    <w:rsid w:val="00724800"/>
    <w:rsid w:val="00724E08"/>
    <w:rsid w:val="00726E0C"/>
    <w:rsid w:val="00727371"/>
    <w:rsid w:val="007318E6"/>
    <w:rsid w:val="00733222"/>
    <w:rsid w:val="0073355E"/>
    <w:rsid w:val="00734F22"/>
    <w:rsid w:val="007377A3"/>
    <w:rsid w:val="00742FE0"/>
    <w:rsid w:val="00743C2E"/>
    <w:rsid w:val="007441D9"/>
    <w:rsid w:val="00750A1C"/>
    <w:rsid w:val="0075367D"/>
    <w:rsid w:val="007569DC"/>
    <w:rsid w:val="00756BDB"/>
    <w:rsid w:val="00756FE9"/>
    <w:rsid w:val="00757086"/>
    <w:rsid w:val="00757564"/>
    <w:rsid w:val="007577A3"/>
    <w:rsid w:val="00757AD4"/>
    <w:rsid w:val="0076088D"/>
    <w:rsid w:val="007618B4"/>
    <w:rsid w:val="007619FD"/>
    <w:rsid w:val="007625CE"/>
    <w:rsid w:val="00762679"/>
    <w:rsid w:val="007707CD"/>
    <w:rsid w:val="00771482"/>
    <w:rsid w:val="007721AF"/>
    <w:rsid w:val="00772CB0"/>
    <w:rsid w:val="00773322"/>
    <w:rsid w:val="00774640"/>
    <w:rsid w:val="0077518E"/>
    <w:rsid w:val="007754A6"/>
    <w:rsid w:val="007801BE"/>
    <w:rsid w:val="00781EB0"/>
    <w:rsid w:val="00785A5C"/>
    <w:rsid w:val="00785CA5"/>
    <w:rsid w:val="00786BA8"/>
    <w:rsid w:val="0079015B"/>
    <w:rsid w:val="007910A0"/>
    <w:rsid w:val="007930CA"/>
    <w:rsid w:val="007956E9"/>
    <w:rsid w:val="00795FC8"/>
    <w:rsid w:val="00797776"/>
    <w:rsid w:val="007A1815"/>
    <w:rsid w:val="007A29C3"/>
    <w:rsid w:val="007A400F"/>
    <w:rsid w:val="007A595B"/>
    <w:rsid w:val="007A7261"/>
    <w:rsid w:val="007B1421"/>
    <w:rsid w:val="007B1CEF"/>
    <w:rsid w:val="007B222A"/>
    <w:rsid w:val="007B4AAF"/>
    <w:rsid w:val="007B5E67"/>
    <w:rsid w:val="007B7B23"/>
    <w:rsid w:val="007C0493"/>
    <w:rsid w:val="007C22FA"/>
    <w:rsid w:val="007C2826"/>
    <w:rsid w:val="007C3C81"/>
    <w:rsid w:val="007C5EE7"/>
    <w:rsid w:val="007C5F9B"/>
    <w:rsid w:val="007C6AB1"/>
    <w:rsid w:val="007C6B28"/>
    <w:rsid w:val="007C7E14"/>
    <w:rsid w:val="007C7E7F"/>
    <w:rsid w:val="007D10D3"/>
    <w:rsid w:val="007D2508"/>
    <w:rsid w:val="007D4127"/>
    <w:rsid w:val="007D665F"/>
    <w:rsid w:val="007E1720"/>
    <w:rsid w:val="007E2096"/>
    <w:rsid w:val="007E5286"/>
    <w:rsid w:val="007E587A"/>
    <w:rsid w:val="007E6EF4"/>
    <w:rsid w:val="007E7B5E"/>
    <w:rsid w:val="007E7D87"/>
    <w:rsid w:val="007F11A4"/>
    <w:rsid w:val="007F1403"/>
    <w:rsid w:val="007F2C6B"/>
    <w:rsid w:val="007F3CDD"/>
    <w:rsid w:val="007F523E"/>
    <w:rsid w:val="007F6610"/>
    <w:rsid w:val="007F77E3"/>
    <w:rsid w:val="008054DA"/>
    <w:rsid w:val="008070BF"/>
    <w:rsid w:val="008120EE"/>
    <w:rsid w:val="00814C1F"/>
    <w:rsid w:val="00814E32"/>
    <w:rsid w:val="00815418"/>
    <w:rsid w:val="0081558B"/>
    <w:rsid w:val="00816984"/>
    <w:rsid w:val="008201D9"/>
    <w:rsid w:val="00823D3E"/>
    <w:rsid w:val="00825CC2"/>
    <w:rsid w:val="00826116"/>
    <w:rsid w:val="00827558"/>
    <w:rsid w:val="008278EB"/>
    <w:rsid w:val="0083101D"/>
    <w:rsid w:val="0083110C"/>
    <w:rsid w:val="00831DD0"/>
    <w:rsid w:val="00834316"/>
    <w:rsid w:val="008343C2"/>
    <w:rsid w:val="0083492A"/>
    <w:rsid w:val="00835916"/>
    <w:rsid w:val="00841AB5"/>
    <w:rsid w:val="00843333"/>
    <w:rsid w:val="0084417E"/>
    <w:rsid w:val="00845F17"/>
    <w:rsid w:val="008463A9"/>
    <w:rsid w:val="0085029A"/>
    <w:rsid w:val="0085131C"/>
    <w:rsid w:val="00852E0A"/>
    <w:rsid w:val="00852F9B"/>
    <w:rsid w:val="008530B5"/>
    <w:rsid w:val="00853A0D"/>
    <w:rsid w:val="00863355"/>
    <w:rsid w:val="00865B11"/>
    <w:rsid w:val="008669B7"/>
    <w:rsid w:val="00870717"/>
    <w:rsid w:val="00870811"/>
    <w:rsid w:val="00870ABE"/>
    <w:rsid w:val="00871596"/>
    <w:rsid w:val="0087243B"/>
    <w:rsid w:val="00872503"/>
    <w:rsid w:val="0087320F"/>
    <w:rsid w:val="00874E5F"/>
    <w:rsid w:val="00875BCA"/>
    <w:rsid w:val="00876146"/>
    <w:rsid w:val="0088117B"/>
    <w:rsid w:val="008827D9"/>
    <w:rsid w:val="008844D9"/>
    <w:rsid w:val="00884C68"/>
    <w:rsid w:val="00885B60"/>
    <w:rsid w:val="00887525"/>
    <w:rsid w:val="00887E88"/>
    <w:rsid w:val="00891091"/>
    <w:rsid w:val="0089140D"/>
    <w:rsid w:val="0089285E"/>
    <w:rsid w:val="008930A5"/>
    <w:rsid w:val="008952D8"/>
    <w:rsid w:val="0089538D"/>
    <w:rsid w:val="00896261"/>
    <w:rsid w:val="00896308"/>
    <w:rsid w:val="00896819"/>
    <w:rsid w:val="008A19CA"/>
    <w:rsid w:val="008A1BCA"/>
    <w:rsid w:val="008A2EE8"/>
    <w:rsid w:val="008A3906"/>
    <w:rsid w:val="008A72A4"/>
    <w:rsid w:val="008B37EF"/>
    <w:rsid w:val="008B6DD4"/>
    <w:rsid w:val="008B7316"/>
    <w:rsid w:val="008C0CC5"/>
    <w:rsid w:val="008C274A"/>
    <w:rsid w:val="008C4F51"/>
    <w:rsid w:val="008C5785"/>
    <w:rsid w:val="008C5AD7"/>
    <w:rsid w:val="008C5CDA"/>
    <w:rsid w:val="008C637D"/>
    <w:rsid w:val="008D0893"/>
    <w:rsid w:val="008D2CF1"/>
    <w:rsid w:val="008D4143"/>
    <w:rsid w:val="008D7C50"/>
    <w:rsid w:val="008E0BE0"/>
    <w:rsid w:val="008E27AE"/>
    <w:rsid w:val="008E2B66"/>
    <w:rsid w:val="008E4F3A"/>
    <w:rsid w:val="008E5564"/>
    <w:rsid w:val="008E5D63"/>
    <w:rsid w:val="008F0CBC"/>
    <w:rsid w:val="008F26B3"/>
    <w:rsid w:val="008F3EE0"/>
    <w:rsid w:val="008F5291"/>
    <w:rsid w:val="009024C5"/>
    <w:rsid w:val="0090272F"/>
    <w:rsid w:val="00902F3D"/>
    <w:rsid w:val="00903A11"/>
    <w:rsid w:val="009047D7"/>
    <w:rsid w:val="0090532C"/>
    <w:rsid w:val="00905587"/>
    <w:rsid w:val="00906792"/>
    <w:rsid w:val="00907961"/>
    <w:rsid w:val="00910E0A"/>
    <w:rsid w:val="009114A7"/>
    <w:rsid w:val="009115FC"/>
    <w:rsid w:val="00911EED"/>
    <w:rsid w:val="00912E9C"/>
    <w:rsid w:val="00913392"/>
    <w:rsid w:val="009141AD"/>
    <w:rsid w:val="00914EAA"/>
    <w:rsid w:val="00920359"/>
    <w:rsid w:val="00921DA0"/>
    <w:rsid w:val="00921F67"/>
    <w:rsid w:val="0092313A"/>
    <w:rsid w:val="00923A9C"/>
    <w:rsid w:val="00924AFB"/>
    <w:rsid w:val="0092511E"/>
    <w:rsid w:val="00926877"/>
    <w:rsid w:val="00927819"/>
    <w:rsid w:val="00927ECA"/>
    <w:rsid w:val="0093118B"/>
    <w:rsid w:val="00933C10"/>
    <w:rsid w:val="009347DB"/>
    <w:rsid w:val="00937AE6"/>
    <w:rsid w:val="00937E92"/>
    <w:rsid w:val="0094176B"/>
    <w:rsid w:val="00941DDA"/>
    <w:rsid w:val="0094477A"/>
    <w:rsid w:val="0094595A"/>
    <w:rsid w:val="00950143"/>
    <w:rsid w:val="00951963"/>
    <w:rsid w:val="00952354"/>
    <w:rsid w:val="0095254E"/>
    <w:rsid w:val="0095360A"/>
    <w:rsid w:val="00954047"/>
    <w:rsid w:val="0095489E"/>
    <w:rsid w:val="009562A3"/>
    <w:rsid w:val="009577E7"/>
    <w:rsid w:val="00961253"/>
    <w:rsid w:val="0096126F"/>
    <w:rsid w:val="00962803"/>
    <w:rsid w:val="0096345F"/>
    <w:rsid w:val="00964C4D"/>
    <w:rsid w:val="009653E4"/>
    <w:rsid w:val="00974768"/>
    <w:rsid w:val="009748BA"/>
    <w:rsid w:val="00976C57"/>
    <w:rsid w:val="0098364A"/>
    <w:rsid w:val="0098431F"/>
    <w:rsid w:val="00985872"/>
    <w:rsid w:val="009920CF"/>
    <w:rsid w:val="00993ED9"/>
    <w:rsid w:val="009946E8"/>
    <w:rsid w:val="00996F13"/>
    <w:rsid w:val="009A19CB"/>
    <w:rsid w:val="009A1EE2"/>
    <w:rsid w:val="009A58A1"/>
    <w:rsid w:val="009A6254"/>
    <w:rsid w:val="009A6729"/>
    <w:rsid w:val="009A720C"/>
    <w:rsid w:val="009B20C8"/>
    <w:rsid w:val="009B33BD"/>
    <w:rsid w:val="009B3886"/>
    <w:rsid w:val="009B4770"/>
    <w:rsid w:val="009B49D4"/>
    <w:rsid w:val="009B66F7"/>
    <w:rsid w:val="009B6986"/>
    <w:rsid w:val="009B7C06"/>
    <w:rsid w:val="009C11CD"/>
    <w:rsid w:val="009C1632"/>
    <w:rsid w:val="009C164E"/>
    <w:rsid w:val="009C34AA"/>
    <w:rsid w:val="009C532A"/>
    <w:rsid w:val="009D02BA"/>
    <w:rsid w:val="009D0836"/>
    <w:rsid w:val="009D0DFF"/>
    <w:rsid w:val="009D514B"/>
    <w:rsid w:val="009D67B2"/>
    <w:rsid w:val="009E0297"/>
    <w:rsid w:val="009E38FC"/>
    <w:rsid w:val="009E3EDE"/>
    <w:rsid w:val="009E442E"/>
    <w:rsid w:val="009E649F"/>
    <w:rsid w:val="009E739D"/>
    <w:rsid w:val="009E7D74"/>
    <w:rsid w:val="009F0D08"/>
    <w:rsid w:val="009F2892"/>
    <w:rsid w:val="009F4859"/>
    <w:rsid w:val="009F6A8C"/>
    <w:rsid w:val="009F7503"/>
    <w:rsid w:val="00A006FB"/>
    <w:rsid w:val="00A01829"/>
    <w:rsid w:val="00A02B6C"/>
    <w:rsid w:val="00A02DCD"/>
    <w:rsid w:val="00A04048"/>
    <w:rsid w:val="00A06730"/>
    <w:rsid w:val="00A10F35"/>
    <w:rsid w:val="00A11DF7"/>
    <w:rsid w:val="00A14CFD"/>
    <w:rsid w:val="00A23A7C"/>
    <w:rsid w:val="00A25A4D"/>
    <w:rsid w:val="00A2772A"/>
    <w:rsid w:val="00A27A52"/>
    <w:rsid w:val="00A3282C"/>
    <w:rsid w:val="00A34128"/>
    <w:rsid w:val="00A35E0D"/>
    <w:rsid w:val="00A3742C"/>
    <w:rsid w:val="00A3764C"/>
    <w:rsid w:val="00A37FAE"/>
    <w:rsid w:val="00A41216"/>
    <w:rsid w:val="00A42442"/>
    <w:rsid w:val="00A44FB1"/>
    <w:rsid w:val="00A454F1"/>
    <w:rsid w:val="00A507B9"/>
    <w:rsid w:val="00A527CB"/>
    <w:rsid w:val="00A53E0C"/>
    <w:rsid w:val="00A603A3"/>
    <w:rsid w:val="00A61398"/>
    <w:rsid w:val="00A63070"/>
    <w:rsid w:val="00A6392F"/>
    <w:rsid w:val="00A654CB"/>
    <w:rsid w:val="00A672C4"/>
    <w:rsid w:val="00A70227"/>
    <w:rsid w:val="00A70290"/>
    <w:rsid w:val="00A71E74"/>
    <w:rsid w:val="00A75FFA"/>
    <w:rsid w:val="00A8145B"/>
    <w:rsid w:val="00A81876"/>
    <w:rsid w:val="00A82C3A"/>
    <w:rsid w:val="00A83E38"/>
    <w:rsid w:val="00A8429B"/>
    <w:rsid w:val="00A85AE9"/>
    <w:rsid w:val="00A861EA"/>
    <w:rsid w:val="00A86469"/>
    <w:rsid w:val="00A872FE"/>
    <w:rsid w:val="00A87628"/>
    <w:rsid w:val="00A900A9"/>
    <w:rsid w:val="00A90B8B"/>
    <w:rsid w:val="00A924B4"/>
    <w:rsid w:val="00A9321B"/>
    <w:rsid w:val="00A9354F"/>
    <w:rsid w:val="00A9369C"/>
    <w:rsid w:val="00A93AED"/>
    <w:rsid w:val="00A94B44"/>
    <w:rsid w:val="00A94D14"/>
    <w:rsid w:val="00A96777"/>
    <w:rsid w:val="00A9757D"/>
    <w:rsid w:val="00AA188D"/>
    <w:rsid w:val="00AA1973"/>
    <w:rsid w:val="00AA336B"/>
    <w:rsid w:val="00AA3B93"/>
    <w:rsid w:val="00AA5E0F"/>
    <w:rsid w:val="00AA6690"/>
    <w:rsid w:val="00AB00E9"/>
    <w:rsid w:val="00AB109F"/>
    <w:rsid w:val="00AB4FB8"/>
    <w:rsid w:val="00AB7FFE"/>
    <w:rsid w:val="00AC1D49"/>
    <w:rsid w:val="00AC228F"/>
    <w:rsid w:val="00AC2A62"/>
    <w:rsid w:val="00AC312A"/>
    <w:rsid w:val="00AC4AAC"/>
    <w:rsid w:val="00AC4F66"/>
    <w:rsid w:val="00AC7446"/>
    <w:rsid w:val="00AD10C7"/>
    <w:rsid w:val="00AD18C2"/>
    <w:rsid w:val="00AD1D29"/>
    <w:rsid w:val="00AD3376"/>
    <w:rsid w:val="00AD33F1"/>
    <w:rsid w:val="00AD3A3D"/>
    <w:rsid w:val="00AD3D51"/>
    <w:rsid w:val="00AE0908"/>
    <w:rsid w:val="00AE494B"/>
    <w:rsid w:val="00AE5733"/>
    <w:rsid w:val="00AE714A"/>
    <w:rsid w:val="00AE746A"/>
    <w:rsid w:val="00AF19BB"/>
    <w:rsid w:val="00AF2F0C"/>
    <w:rsid w:val="00AF3814"/>
    <w:rsid w:val="00B01059"/>
    <w:rsid w:val="00B064C5"/>
    <w:rsid w:val="00B10F42"/>
    <w:rsid w:val="00B120CE"/>
    <w:rsid w:val="00B12A16"/>
    <w:rsid w:val="00B17446"/>
    <w:rsid w:val="00B2056C"/>
    <w:rsid w:val="00B20949"/>
    <w:rsid w:val="00B20F61"/>
    <w:rsid w:val="00B21AC5"/>
    <w:rsid w:val="00B224C0"/>
    <w:rsid w:val="00B25BBD"/>
    <w:rsid w:val="00B30019"/>
    <w:rsid w:val="00B30327"/>
    <w:rsid w:val="00B3180D"/>
    <w:rsid w:val="00B334E4"/>
    <w:rsid w:val="00B345F8"/>
    <w:rsid w:val="00B350CD"/>
    <w:rsid w:val="00B42146"/>
    <w:rsid w:val="00B43768"/>
    <w:rsid w:val="00B45302"/>
    <w:rsid w:val="00B45698"/>
    <w:rsid w:val="00B5074D"/>
    <w:rsid w:val="00B5097E"/>
    <w:rsid w:val="00B50F82"/>
    <w:rsid w:val="00B5497A"/>
    <w:rsid w:val="00B56629"/>
    <w:rsid w:val="00B61042"/>
    <w:rsid w:val="00B6167A"/>
    <w:rsid w:val="00B6440F"/>
    <w:rsid w:val="00B644FC"/>
    <w:rsid w:val="00B66FD1"/>
    <w:rsid w:val="00B739D9"/>
    <w:rsid w:val="00B74308"/>
    <w:rsid w:val="00B743E7"/>
    <w:rsid w:val="00B75BCF"/>
    <w:rsid w:val="00B77A47"/>
    <w:rsid w:val="00B87EC2"/>
    <w:rsid w:val="00B9125F"/>
    <w:rsid w:val="00B929F9"/>
    <w:rsid w:val="00B9527C"/>
    <w:rsid w:val="00BA10A4"/>
    <w:rsid w:val="00BA361A"/>
    <w:rsid w:val="00BA3C1F"/>
    <w:rsid w:val="00BA4208"/>
    <w:rsid w:val="00BA4424"/>
    <w:rsid w:val="00BA6255"/>
    <w:rsid w:val="00BA7EA4"/>
    <w:rsid w:val="00BB0191"/>
    <w:rsid w:val="00BB1360"/>
    <w:rsid w:val="00BB395D"/>
    <w:rsid w:val="00BB4B2B"/>
    <w:rsid w:val="00BB5DBE"/>
    <w:rsid w:val="00BB6A02"/>
    <w:rsid w:val="00BB73E6"/>
    <w:rsid w:val="00BC1005"/>
    <w:rsid w:val="00BC18AA"/>
    <w:rsid w:val="00BC344A"/>
    <w:rsid w:val="00BC3676"/>
    <w:rsid w:val="00BC3C48"/>
    <w:rsid w:val="00BC4237"/>
    <w:rsid w:val="00BC45F4"/>
    <w:rsid w:val="00BC5C66"/>
    <w:rsid w:val="00BC6B64"/>
    <w:rsid w:val="00BC6FA7"/>
    <w:rsid w:val="00BD2733"/>
    <w:rsid w:val="00BD41B8"/>
    <w:rsid w:val="00BD66D7"/>
    <w:rsid w:val="00BE0859"/>
    <w:rsid w:val="00BE1148"/>
    <w:rsid w:val="00BE23F0"/>
    <w:rsid w:val="00BE273F"/>
    <w:rsid w:val="00BE4CEA"/>
    <w:rsid w:val="00BE63D6"/>
    <w:rsid w:val="00BF4716"/>
    <w:rsid w:val="00BF4ADA"/>
    <w:rsid w:val="00BF4FE7"/>
    <w:rsid w:val="00BF76E1"/>
    <w:rsid w:val="00BF7A18"/>
    <w:rsid w:val="00C02076"/>
    <w:rsid w:val="00C03615"/>
    <w:rsid w:val="00C03D71"/>
    <w:rsid w:val="00C03DF0"/>
    <w:rsid w:val="00C058E2"/>
    <w:rsid w:val="00C06DA9"/>
    <w:rsid w:val="00C1007F"/>
    <w:rsid w:val="00C10569"/>
    <w:rsid w:val="00C10651"/>
    <w:rsid w:val="00C13A25"/>
    <w:rsid w:val="00C13C15"/>
    <w:rsid w:val="00C153A9"/>
    <w:rsid w:val="00C15B31"/>
    <w:rsid w:val="00C161B8"/>
    <w:rsid w:val="00C2123B"/>
    <w:rsid w:val="00C22965"/>
    <w:rsid w:val="00C25776"/>
    <w:rsid w:val="00C25B39"/>
    <w:rsid w:val="00C26C9B"/>
    <w:rsid w:val="00C27882"/>
    <w:rsid w:val="00C30A07"/>
    <w:rsid w:val="00C35620"/>
    <w:rsid w:val="00C37DD1"/>
    <w:rsid w:val="00C455B5"/>
    <w:rsid w:val="00C45731"/>
    <w:rsid w:val="00C4637B"/>
    <w:rsid w:val="00C46AEB"/>
    <w:rsid w:val="00C506EA"/>
    <w:rsid w:val="00C51FCA"/>
    <w:rsid w:val="00C528E0"/>
    <w:rsid w:val="00C55665"/>
    <w:rsid w:val="00C557B6"/>
    <w:rsid w:val="00C55C76"/>
    <w:rsid w:val="00C56444"/>
    <w:rsid w:val="00C57055"/>
    <w:rsid w:val="00C57BD6"/>
    <w:rsid w:val="00C60FB2"/>
    <w:rsid w:val="00C63F1E"/>
    <w:rsid w:val="00C6578C"/>
    <w:rsid w:val="00C65A08"/>
    <w:rsid w:val="00C66FD5"/>
    <w:rsid w:val="00C676CC"/>
    <w:rsid w:val="00C74191"/>
    <w:rsid w:val="00C8270B"/>
    <w:rsid w:val="00C83DCA"/>
    <w:rsid w:val="00C84C97"/>
    <w:rsid w:val="00C84FD5"/>
    <w:rsid w:val="00C855CB"/>
    <w:rsid w:val="00C85A1E"/>
    <w:rsid w:val="00C86596"/>
    <w:rsid w:val="00C86E7A"/>
    <w:rsid w:val="00C90118"/>
    <w:rsid w:val="00C91AC9"/>
    <w:rsid w:val="00C934EB"/>
    <w:rsid w:val="00C94301"/>
    <w:rsid w:val="00C9490A"/>
    <w:rsid w:val="00CA28B7"/>
    <w:rsid w:val="00CA33D9"/>
    <w:rsid w:val="00CA77F1"/>
    <w:rsid w:val="00CA7D72"/>
    <w:rsid w:val="00CB1B50"/>
    <w:rsid w:val="00CB675E"/>
    <w:rsid w:val="00CC0A58"/>
    <w:rsid w:val="00CC17B3"/>
    <w:rsid w:val="00CC26E3"/>
    <w:rsid w:val="00CC4AFD"/>
    <w:rsid w:val="00CC508C"/>
    <w:rsid w:val="00CC6BB3"/>
    <w:rsid w:val="00CD0DED"/>
    <w:rsid w:val="00CD3860"/>
    <w:rsid w:val="00CD3BC9"/>
    <w:rsid w:val="00CD40AC"/>
    <w:rsid w:val="00CD49DD"/>
    <w:rsid w:val="00CD5ACB"/>
    <w:rsid w:val="00CD75C9"/>
    <w:rsid w:val="00CE0E78"/>
    <w:rsid w:val="00CE53E4"/>
    <w:rsid w:val="00CE56B5"/>
    <w:rsid w:val="00CE62B0"/>
    <w:rsid w:val="00CE68CA"/>
    <w:rsid w:val="00CE7CF1"/>
    <w:rsid w:val="00CF5848"/>
    <w:rsid w:val="00CF6E2F"/>
    <w:rsid w:val="00CF770B"/>
    <w:rsid w:val="00D002DE"/>
    <w:rsid w:val="00D01B1C"/>
    <w:rsid w:val="00D020AE"/>
    <w:rsid w:val="00D03337"/>
    <w:rsid w:val="00D03D61"/>
    <w:rsid w:val="00D07D17"/>
    <w:rsid w:val="00D10FA4"/>
    <w:rsid w:val="00D11223"/>
    <w:rsid w:val="00D1126C"/>
    <w:rsid w:val="00D113F5"/>
    <w:rsid w:val="00D144AE"/>
    <w:rsid w:val="00D16B3E"/>
    <w:rsid w:val="00D17E28"/>
    <w:rsid w:val="00D2248A"/>
    <w:rsid w:val="00D2406E"/>
    <w:rsid w:val="00D24C2B"/>
    <w:rsid w:val="00D27187"/>
    <w:rsid w:val="00D2737C"/>
    <w:rsid w:val="00D27C39"/>
    <w:rsid w:val="00D30F4F"/>
    <w:rsid w:val="00D31161"/>
    <w:rsid w:val="00D32585"/>
    <w:rsid w:val="00D355F3"/>
    <w:rsid w:val="00D412A7"/>
    <w:rsid w:val="00D41553"/>
    <w:rsid w:val="00D426F0"/>
    <w:rsid w:val="00D437A1"/>
    <w:rsid w:val="00D45DBF"/>
    <w:rsid w:val="00D46445"/>
    <w:rsid w:val="00D475A5"/>
    <w:rsid w:val="00D47C7D"/>
    <w:rsid w:val="00D47E2F"/>
    <w:rsid w:val="00D5147C"/>
    <w:rsid w:val="00D53B3B"/>
    <w:rsid w:val="00D54D05"/>
    <w:rsid w:val="00D55968"/>
    <w:rsid w:val="00D602DC"/>
    <w:rsid w:val="00D6094B"/>
    <w:rsid w:val="00D63434"/>
    <w:rsid w:val="00D64A16"/>
    <w:rsid w:val="00D66D8E"/>
    <w:rsid w:val="00D67327"/>
    <w:rsid w:val="00D676B5"/>
    <w:rsid w:val="00D71EE1"/>
    <w:rsid w:val="00D71FAF"/>
    <w:rsid w:val="00D728E2"/>
    <w:rsid w:val="00D7373C"/>
    <w:rsid w:val="00D76498"/>
    <w:rsid w:val="00D77082"/>
    <w:rsid w:val="00D804A7"/>
    <w:rsid w:val="00D82D91"/>
    <w:rsid w:val="00D832A2"/>
    <w:rsid w:val="00D83AF4"/>
    <w:rsid w:val="00D8523A"/>
    <w:rsid w:val="00D85CB2"/>
    <w:rsid w:val="00D85F7F"/>
    <w:rsid w:val="00D8652B"/>
    <w:rsid w:val="00D91B61"/>
    <w:rsid w:val="00D92092"/>
    <w:rsid w:val="00D92BBA"/>
    <w:rsid w:val="00D9305C"/>
    <w:rsid w:val="00D95C7E"/>
    <w:rsid w:val="00D95CC3"/>
    <w:rsid w:val="00D96C87"/>
    <w:rsid w:val="00DA16F2"/>
    <w:rsid w:val="00DA1E69"/>
    <w:rsid w:val="00DA2DB2"/>
    <w:rsid w:val="00DA4043"/>
    <w:rsid w:val="00DA4BE4"/>
    <w:rsid w:val="00DA5E50"/>
    <w:rsid w:val="00DA6242"/>
    <w:rsid w:val="00DA7585"/>
    <w:rsid w:val="00DB0D75"/>
    <w:rsid w:val="00DB2C0E"/>
    <w:rsid w:val="00DB3158"/>
    <w:rsid w:val="00DB3373"/>
    <w:rsid w:val="00DB40CC"/>
    <w:rsid w:val="00DB68B2"/>
    <w:rsid w:val="00DB7F7D"/>
    <w:rsid w:val="00DC0E38"/>
    <w:rsid w:val="00DC2280"/>
    <w:rsid w:val="00DC3000"/>
    <w:rsid w:val="00DC30BF"/>
    <w:rsid w:val="00DC38EB"/>
    <w:rsid w:val="00DC6188"/>
    <w:rsid w:val="00DC64A5"/>
    <w:rsid w:val="00DC65B9"/>
    <w:rsid w:val="00DC6E72"/>
    <w:rsid w:val="00DC6F0C"/>
    <w:rsid w:val="00DC7875"/>
    <w:rsid w:val="00DD1F60"/>
    <w:rsid w:val="00DD2296"/>
    <w:rsid w:val="00DD37FF"/>
    <w:rsid w:val="00DD5868"/>
    <w:rsid w:val="00DD72B7"/>
    <w:rsid w:val="00DE01E7"/>
    <w:rsid w:val="00DE1CD2"/>
    <w:rsid w:val="00DE248B"/>
    <w:rsid w:val="00DE7347"/>
    <w:rsid w:val="00DF104C"/>
    <w:rsid w:val="00DF3ED6"/>
    <w:rsid w:val="00DF69BD"/>
    <w:rsid w:val="00DF6C56"/>
    <w:rsid w:val="00E02050"/>
    <w:rsid w:val="00E025EC"/>
    <w:rsid w:val="00E05A2E"/>
    <w:rsid w:val="00E1318E"/>
    <w:rsid w:val="00E13796"/>
    <w:rsid w:val="00E14DDB"/>
    <w:rsid w:val="00E155D3"/>
    <w:rsid w:val="00E15634"/>
    <w:rsid w:val="00E15E83"/>
    <w:rsid w:val="00E22C30"/>
    <w:rsid w:val="00E2408B"/>
    <w:rsid w:val="00E255E5"/>
    <w:rsid w:val="00E27152"/>
    <w:rsid w:val="00E30603"/>
    <w:rsid w:val="00E30D19"/>
    <w:rsid w:val="00E31601"/>
    <w:rsid w:val="00E31C48"/>
    <w:rsid w:val="00E33026"/>
    <w:rsid w:val="00E3584E"/>
    <w:rsid w:val="00E362D9"/>
    <w:rsid w:val="00E3777B"/>
    <w:rsid w:val="00E4132D"/>
    <w:rsid w:val="00E43CCC"/>
    <w:rsid w:val="00E43E84"/>
    <w:rsid w:val="00E44593"/>
    <w:rsid w:val="00E44594"/>
    <w:rsid w:val="00E44C6E"/>
    <w:rsid w:val="00E464B8"/>
    <w:rsid w:val="00E46932"/>
    <w:rsid w:val="00E5141B"/>
    <w:rsid w:val="00E51DA1"/>
    <w:rsid w:val="00E532C8"/>
    <w:rsid w:val="00E53A72"/>
    <w:rsid w:val="00E53F60"/>
    <w:rsid w:val="00E5444D"/>
    <w:rsid w:val="00E55E95"/>
    <w:rsid w:val="00E618FB"/>
    <w:rsid w:val="00E642C8"/>
    <w:rsid w:val="00E665ED"/>
    <w:rsid w:val="00E67756"/>
    <w:rsid w:val="00E731E3"/>
    <w:rsid w:val="00E761B4"/>
    <w:rsid w:val="00E771AE"/>
    <w:rsid w:val="00E80BB7"/>
    <w:rsid w:val="00E82D82"/>
    <w:rsid w:val="00E8375D"/>
    <w:rsid w:val="00E837FF"/>
    <w:rsid w:val="00E83D49"/>
    <w:rsid w:val="00E8514A"/>
    <w:rsid w:val="00E856DF"/>
    <w:rsid w:val="00E9060E"/>
    <w:rsid w:val="00E93C82"/>
    <w:rsid w:val="00E955C5"/>
    <w:rsid w:val="00E961C1"/>
    <w:rsid w:val="00E966DC"/>
    <w:rsid w:val="00EA15E7"/>
    <w:rsid w:val="00EA2694"/>
    <w:rsid w:val="00EA3BDE"/>
    <w:rsid w:val="00EB129B"/>
    <w:rsid w:val="00EB1CE6"/>
    <w:rsid w:val="00EB2E7F"/>
    <w:rsid w:val="00EB356D"/>
    <w:rsid w:val="00EB35BB"/>
    <w:rsid w:val="00EB3B87"/>
    <w:rsid w:val="00EB594D"/>
    <w:rsid w:val="00EB78D5"/>
    <w:rsid w:val="00EC0873"/>
    <w:rsid w:val="00EC0BB2"/>
    <w:rsid w:val="00EC1474"/>
    <w:rsid w:val="00EC14EF"/>
    <w:rsid w:val="00EC2137"/>
    <w:rsid w:val="00EC29D8"/>
    <w:rsid w:val="00EC2FBB"/>
    <w:rsid w:val="00EC34CC"/>
    <w:rsid w:val="00EC36AA"/>
    <w:rsid w:val="00EC3B45"/>
    <w:rsid w:val="00EC3EAE"/>
    <w:rsid w:val="00EC57C7"/>
    <w:rsid w:val="00EC5BF9"/>
    <w:rsid w:val="00EC6F31"/>
    <w:rsid w:val="00EC7CD2"/>
    <w:rsid w:val="00EC7D68"/>
    <w:rsid w:val="00ED0260"/>
    <w:rsid w:val="00ED0356"/>
    <w:rsid w:val="00ED0A7F"/>
    <w:rsid w:val="00ED0FF9"/>
    <w:rsid w:val="00ED32D3"/>
    <w:rsid w:val="00ED39F8"/>
    <w:rsid w:val="00ED5A9D"/>
    <w:rsid w:val="00ED6BC9"/>
    <w:rsid w:val="00ED7969"/>
    <w:rsid w:val="00EE0883"/>
    <w:rsid w:val="00EE0B80"/>
    <w:rsid w:val="00EE416C"/>
    <w:rsid w:val="00EF019D"/>
    <w:rsid w:val="00EF06C6"/>
    <w:rsid w:val="00EF0854"/>
    <w:rsid w:val="00EF1339"/>
    <w:rsid w:val="00EF248F"/>
    <w:rsid w:val="00EF283E"/>
    <w:rsid w:val="00EF2EE7"/>
    <w:rsid w:val="00EF5760"/>
    <w:rsid w:val="00EF593C"/>
    <w:rsid w:val="00EF5D55"/>
    <w:rsid w:val="00EF6798"/>
    <w:rsid w:val="00EF6A14"/>
    <w:rsid w:val="00EF79FC"/>
    <w:rsid w:val="00F02508"/>
    <w:rsid w:val="00F02EFD"/>
    <w:rsid w:val="00F0366B"/>
    <w:rsid w:val="00F05683"/>
    <w:rsid w:val="00F057A3"/>
    <w:rsid w:val="00F05C5C"/>
    <w:rsid w:val="00F07DAE"/>
    <w:rsid w:val="00F12AD9"/>
    <w:rsid w:val="00F16324"/>
    <w:rsid w:val="00F1663D"/>
    <w:rsid w:val="00F21396"/>
    <w:rsid w:val="00F24F1D"/>
    <w:rsid w:val="00F264EB"/>
    <w:rsid w:val="00F31009"/>
    <w:rsid w:val="00F315DA"/>
    <w:rsid w:val="00F35AD5"/>
    <w:rsid w:val="00F4095D"/>
    <w:rsid w:val="00F40F53"/>
    <w:rsid w:val="00F43A51"/>
    <w:rsid w:val="00F449EE"/>
    <w:rsid w:val="00F4521A"/>
    <w:rsid w:val="00F45E2D"/>
    <w:rsid w:val="00F46A76"/>
    <w:rsid w:val="00F46C7F"/>
    <w:rsid w:val="00F47594"/>
    <w:rsid w:val="00F5089D"/>
    <w:rsid w:val="00F51FCB"/>
    <w:rsid w:val="00F5442B"/>
    <w:rsid w:val="00F546C2"/>
    <w:rsid w:val="00F549D1"/>
    <w:rsid w:val="00F557E2"/>
    <w:rsid w:val="00F56D65"/>
    <w:rsid w:val="00F60B6A"/>
    <w:rsid w:val="00F60CD9"/>
    <w:rsid w:val="00F62CD1"/>
    <w:rsid w:val="00F648D9"/>
    <w:rsid w:val="00F64A0C"/>
    <w:rsid w:val="00F666A3"/>
    <w:rsid w:val="00F67E05"/>
    <w:rsid w:val="00F67E8D"/>
    <w:rsid w:val="00F70FA2"/>
    <w:rsid w:val="00F72349"/>
    <w:rsid w:val="00F73B6F"/>
    <w:rsid w:val="00F73F5C"/>
    <w:rsid w:val="00F816F8"/>
    <w:rsid w:val="00F81863"/>
    <w:rsid w:val="00F82251"/>
    <w:rsid w:val="00F835AD"/>
    <w:rsid w:val="00F85F2F"/>
    <w:rsid w:val="00F8668D"/>
    <w:rsid w:val="00F9059F"/>
    <w:rsid w:val="00F90769"/>
    <w:rsid w:val="00F90CE1"/>
    <w:rsid w:val="00F91834"/>
    <w:rsid w:val="00F91D80"/>
    <w:rsid w:val="00F92412"/>
    <w:rsid w:val="00F9324D"/>
    <w:rsid w:val="00F95CBC"/>
    <w:rsid w:val="00FA0021"/>
    <w:rsid w:val="00FA0E29"/>
    <w:rsid w:val="00FA212D"/>
    <w:rsid w:val="00FA26DF"/>
    <w:rsid w:val="00FA32F1"/>
    <w:rsid w:val="00FA4A23"/>
    <w:rsid w:val="00FA54B2"/>
    <w:rsid w:val="00FA56A7"/>
    <w:rsid w:val="00FA6E1C"/>
    <w:rsid w:val="00FB279A"/>
    <w:rsid w:val="00FB2F74"/>
    <w:rsid w:val="00FB373A"/>
    <w:rsid w:val="00FB5015"/>
    <w:rsid w:val="00FB777E"/>
    <w:rsid w:val="00FC1216"/>
    <w:rsid w:val="00FC1DBA"/>
    <w:rsid w:val="00FC2774"/>
    <w:rsid w:val="00FC431B"/>
    <w:rsid w:val="00FC537C"/>
    <w:rsid w:val="00FC5601"/>
    <w:rsid w:val="00FC5CAC"/>
    <w:rsid w:val="00FD0E33"/>
    <w:rsid w:val="00FD10C7"/>
    <w:rsid w:val="00FD2121"/>
    <w:rsid w:val="00FD3D71"/>
    <w:rsid w:val="00FD7238"/>
    <w:rsid w:val="00FD7374"/>
    <w:rsid w:val="00FD7B20"/>
    <w:rsid w:val="00FE0462"/>
    <w:rsid w:val="00FE05BC"/>
    <w:rsid w:val="00FE49D3"/>
    <w:rsid w:val="00FE5D50"/>
    <w:rsid w:val="00FE5DF7"/>
    <w:rsid w:val="00FE70CA"/>
    <w:rsid w:val="00FE7819"/>
    <w:rsid w:val="00FE7E06"/>
    <w:rsid w:val="00FF0FC2"/>
    <w:rsid w:val="00FF3B8A"/>
    <w:rsid w:val="00FF4770"/>
    <w:rsid w:val="00FF4F16"/>
    <w:rsid w:val="00FF5F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C456CD"/>
  <w15:docId w15:val="{B5F25F11-BA59-47E2-8444-8719147A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7FF"/>
    <w:pPr>
      <w:spacing w:after="200"/>
    </w:pPr>
    <w:rPr>
      <w:sz w:val="24"/>
      <w:szCs w:val="24"/>
      <w:lang w:val="en-AU" w:eastAsia="ja-JP"/>
    </w:rPr>
  </w:style>
  <w:style w:type="paragraph" w:styleId="Heading1">
    <w:name w:val="heading 1"/>
    <w:basedOn w:val="Normal"/>
    <w:next w:val="Normal"/>
    <w:link w:val="Heading1Char"/>
    <w:uiPriority w:val="99"/>
    <w:qFormat/>
    <w:rsid w:val="0045739B"/>
    <w:pPr>
      <w:keepNext/>
      <w:keepLines/>
      <w:spacing w:before="480" w:after="0"/>
      <w:outlineLvl w:val="0"/>
    </w:pPr>
    <w:rPr>
      <w:rFonts w:ascii="Calibri" w:hAnsi="Calibri"/>
      <w:b/>
      <w:bCs/>
      <w:color w:val="365F91"/>
      <w:sz w:val="28"/>
      <w:szCs w:val="28"/>
    </w:rPr>
  </w:style>
  <w:style w:type="paragraph" w:styleId="Heading2">
    <w:name w:val="heading 2"/>
    <w:basedOn w:val="NormalWeb"/>
    <w:next w:val="Normal"/>
    <w:link w:val="Heading2Char"/>
    <w:uiPriority w:val="99"/>
    <w:qFormat/>
    <w:rsid w:val="00A83E38"/>
    <w:pPr>
      <w:outlineLvl w:val="1"/>
    </w:pPr>
    <w:rPr>
      <w:rFonts w:ascii="Arial" w:hAnsi="Arial" w:cs="Arial"/>
      <w:b/>
      <w:sz w:val="28"/>
      <w:szCs w:val="28"/>
    </w:rPr>
  </w:style>
  <w:style w:type="paragraph" w:styleId="Heading3">
    <w:name w:val="heading 3"/>
    <w:basedOn w:val="Normal"/>
    <w:next w:val="Normal"/>
    <w:link w:val="Heading3Char"/>
    <w:uiPriority w:val="99"/>
    <w:qFormat/>
    <w:rsid w:val="00E30603"/>
    <w:pPr>
      <w:keepNext/>
      <w:keepLines/>
      <w:spacing w:before="200" w:after="0"/>
      <w:outlineLvl w:val="2"/>
    </w:pPr>
    <w:rPr>
      <w:rFonts w:ascii="Calibri"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5739B"/>
    <w:rPr>
      <w:rFonts w:ascii="Calibri" w:hAnsi="Calibri" w:cs="Times New Roman"/>
      <w:b/>
      <w:bCs/>
      <w:color w:val="365F91"/>
      <w:sz w:val="28"/>
      <w:szCs w:val="28"/>
      <w:lang w:val="en-AU"/>
    </w:rPr>
  </w:style>
  <w:style w:type="character" w:customStyle="1" w:styleId="Heading2Char">
    <w:name w:val="Heading 2 Char"/>
    <w:link w:val="Heading2"/>
    <w:uiPriority w:val="99"/>
    <w:locked/>
    <w:rsid w:val="00A83E38"/>
    <w:rPr>
      <w:rFonts w:ascii="Arial" w:hAnsi="Arial" w:cs="Arial"/>
      <w:b/>
      <w:sz w:val="28"/>
      <w:szCs w:val="28"/>
      <w:lang w:val="en-GB" w:eastAsia="en-US"/>
    </w:rPr>
  </w:style>
  <w:style w:type="character" w:customStyle="1" w:styleId="Heading3Char">
    <w:name w:val="Heading 3 Char"/>
    <w:link w:val="Heading3"/>
    <w:uiPriority w:val="99"/>
    <w:locked/>
    <w:rsid w:val="00E30603"/>
    <w:rPr>
      <w:rFonts w:ascii="Calibri" w:hAnsi="Calibri" w:cs="Times New Roman"/>
      <w:b/>
      <w:bCs/>
      <w:color w:val="4F81BD"/>
      <w:lang w:val="en-AU"/>
    </w:rPr>
  </w:style>
  <w:style w:type="paragraph" w:styleId="NormalWeb">
    <w:name w:val="Normal (Web)"/>
    <w:basedOn w:val="Normal"/>
    <w:uiPriority w:val="99"/>
    <w:rsid w:val="00CD49DD"/>
    <w:pPr>
      <w:spacing w:before="100" w:beforeAutospacing="1" w:after="100" w:afterAutospacing="1"/>
    </w:pPr>
    <w:rPr>
      <w:rFonts w:ascii="Times" w:hAnsi="Times"/>
      <w:sz w:val="20"/>
      <w:szCs w:val="20"/>
      <w:lang w:val="en-GB" w:eastAsia="en-US"/>
    </w:rPr>
  </w:style>
  <w:style w:type="paragraph" w:styleId="Header">
    <w:name w:val="header"/>
    <w:basedOn w:val="Normal"/>
    <w:link w:val="HeaderChar"/>
    <w:uiPriority w:val="99"/>
    <w:rsid w:val="00CD49DD"/>
    <w:pPr>
      <w:tabs>
        <w:tab w:val="center" w:pos="4320"/>
        <w:tab w:val="right" w:pos="8640"/>
      </w:tabs>
      <w:spacing w:after="0"/>
    </w:pPr>
  </w:style>
  <w:style w:type="character" w:customStyle="1" w:styleId="HeaderChar">
    <w:name w:val="Header Char"/>
    <w:link w:val="Header"/>
    <w:uiPriority w:val="99"/>
    <w:locked/>
    <w:rsid w:val="00CD49DD"/>
    <w:rPr>
      <w:rFonts w:cs="Times New Roman"/>
      <w:lang w:val="en-AU"/>
    </w:rPr>
  </w:style>
  <w:style w:type="paragraph" w:styleId="Footer">
    <w:name w:val="footer"/>
    <w:basedOn w:val="Normal"/>
    <w:link w:val="FooterChar"/>
    <w:uiPriority w:val="99"/>
    <w:rsid w:val="00CD49DD"/>
    <w:pPr>
      <w:tabs>
        <w:tab w:val="center" w:pos="4320"/>
        <w:tab w:val="right" w:pos="8640"/>
      </w:tabs>
      <w:spacing w:after="0"/>
    </w:pPr>
  </w:style>
  <w:style w:type="character" w:customStyle="1" w:styleId="FooterChar">
    <w:name w:val="Footer Char"/>
    <w:link w:val="Footer"/>
    <w:uiPriority w:val="99"/>
    <w:locked/>
    <w:rsid w:val="00CD49DD"/>
    <w:rPr>
      <w:rFonts w:cs="Times New Roman"/>
      <w:lang w:val="en-AU"/>
    </w:rPr>
  </w:style>
  <w:style w:type="paragraph" w:styleId="BalloonText">
    <w:name w:val="Balloon Text"/>
    <w:basedOn w:val="Normal"/>
    <w:link w:val="BalloonTextChar"/>
    <w:uiPriority w:val="99"/>
    <w:semiHidden/>
    <w:rsid w:val="00CD49DD"/>
    <w:pPr>
      <w:spacing w:after="0"/>
    </w:pPr>
    <w:rPr>
      <w:rFonts w:ascii="Lucida Grande" w:hAnsi="Lucida Grande" w:cs="Lucida Grande"/>
      <w:sz w:val="18"/>
      <w:szCs w:val="18"/>
    </w:rPr>
  </w:style>
  <w:style w:type="character" w:customStyle="1" w:styleId="BalloonTextChar">
    <w:name w:val="Balloon Text Char"/>
    <w:link w:val="BalloonText"/>
    <w:uiPriority w:val="99"/>
    <w:semiHidden/>
    <w:locked/>
    <w:rsid w:val="00CD49DD"/>
    <w:rPr>
      <w:rFonts w:ascii="Lucida Grande" w:hAnsi="Lucida Grande" w:cs="Lucida Grande"/>
      <w:sz w:val="18"/>
      <w:szCs w:val="18"/>
      <w:lang w:val="en-AU"/>
    </w:rPr>
  </w:style>
  <w:style w:type="character" w:styleId="Hyperlink">
    <w:name w:val="Hyperlink"/>
    <w:uiPriority w:val="99"/>
    <w:rsid w:val="00CD49DD"/>
    <w:rPr>
      <w:rFonts w:cs="Times New Roman"/>
      <w:color w:val="0000FF"/>
      <w:u w:val="single"/>
    </w:rPr>
  </w:style>
  <w:style w:type="paragraph" w:styleId="ListParagraph">
    <w:name w:val="List Paragraph"/>
    <w:basedOn w:val="Normal"/>
    <w:uiPriority w:val="99"/>
    <w:qFormat/>
    <w:rsid w:val="00815418"/>
    <w:pPr>
      <w:ind w:left="720"/>
      <w:contextualSpacing/>
    </w:pPr>
  </w:style>
  <w:style w:type="character" w:styleId="FollowedHyperlink">
    <w:name w:val="FollowedHyperlink"/>
    <w:uiPriority w:val="99"/>
    <w:semiHidden/>
    <w:rsid w:val="00505E69"/>
    <w:rPr>
      <w:rFonts w:cs="Times New Roman"/>
      <w:color w:val="800080"/>
      <w:u w:val="single"/>
    </w:rPr>
  </w:style>
  <w:style w:type="character" w:styleId="PageNumber">
    <w:name w:val="page number"/>
    <w:uiPriority w:val="99"/>
    <w:semiHidden/>
    <w:rsid w:val="000C399E"/>
    <w:rPr>
      <w:rFonts w:cs="Times New Roman"/>
    </w:rPr>
  </w:style>
  <w:style w:type="table" w:styleId="TableGrid">
    <w:name w:val="Table Grid"/>
    <w:basedOn w:val="TableNormal"/>
    <w:uiPriority w:val="99"/>
    <w:rsid w:val="00BC4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2F4E"/>
    <w:rPr>
      <w:sz w:val="16"/>
      <w:szCs w:val="16"/>
    </w:rPr>
  </w:style>
  <w:style w:type="paragraph" w:styleId="CommentText">
    <w:name w:val="annotation text"/>
    <w:basedOn w:val="Normal"/>
    <w:link w:val="CommentTextChar"/>
    <w:uiPriority w:val="99"/>
    <w:semiHidden/>
    <w:unhideWhenUsed/>
    <w:rsid w:val="004D2F4E"/>
    <w:rPr>
      <w:sz w:val="20"/>
      <w:szCs w:val="20"/>
    </w:rPr>
  </w:style>
  <w:style w:type="character" w:customStyle="1" w:styleId="CommentTextChar">
    <w:name w:val="Comment Text Char"/>
    <w:basedOn w:val="DefaultParagraphFont"/>
    <w:link w:val="CommentText"/>
    <w:uiPriority w:val="99"/>
    <w:semiHidden/>
    <w:rsid w:val="004D2F4E"/>
    <w:rPr>
      <w:lang w:val="en-AU" w:eastAsia="ja-JP"/>
    </w:rPr>
  </w:style>
  <w:style w:type="paragraph" w:styleId="CommentSubject">
    <w:name w:val="annotation subject"/>
    <w:basedOn w:val="CommentText"/>
    <w:next w:val="CommentText"/>
    <w:link w:val="CommentSubjectChar"/>
    <w:uiPriority w:val="99"/>
    <w:semiHidden/>
    <w:unhideWhenUsed/>
    <w:rsid w:val="004D2F4E"/>
    <w:rPr>
      <w:b/>
      <w:bCs/>
    </w:rPr>
  </w:style>
  <w:style w:type="character" w:customStyle="1" w:styleId="CommentSubjectChar">
    <w:name w:val="Comment Subject Char"/>
    <w:basedOn w:val="CommentTextChar"/>
    <w:link w:val="CommentSubject"/>
    <w:uiPriority w:val="99"/>
    <w:semiHidden/>
    <w:rsid w:val="004D2F4E"/>
    <w:rPr>
      <w:b/>
      <w:bCs/>
      <w:lang w:val="en-AU" w:eastAsia="ja-JP"/>
    </w:rPr>
  </w:style>
  <w:style w:type="character" w:styleId="Emphasis">
    <w:name w:val="Emphasis"/>
    <w:basedOn w:val="DefaultParagraphFont"/>
    <w:qFormat/>
    <w:locked/>
    <w:rsid w:val="0077518E"/>
    <w:rPr>
      <w:i/>
      <w:iCs/>
    </w:rPr>
  </w:style>
  <w:style w:type="paragraph" w:styleId="Revision">
    <w:name w:val="Revision"/>
    <w:hidden/>
    <w:uiPriority w:val="99"/>
    <w:semiHidden/>
    <w:rsid w:val="00FA32F1"/>
    <w:rPr>
      <w:sz w:val="24"/>
      <w:szCs w:val="24"/>
      <w:lang w:val="en-AU" w:eastAsia="ja-JP"/>
    </w:rPr>
  </w:style>
  <w:style w:type="character" w:customStyle="1" w:styleId="apple-converted-space">
    <w:name w:val="apple-converted-space"/>
    <w:basedOn w:val="DefaultParagraphFont"/>
    <w:rsid w:val="00581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67468">
      <w:marLeft w:val="0"/>
      <w:marRight w:val="0"/>
      <w:marTop w:val="0"/>
      <w:marBottom w:val="0"/>
      <w:divBdr>
        <w:top w:val="none" w:sz="0" w:space="0" w:color="auto"/>
        <w:left w:val="none" w:sz="0" w:space="0" w:color="auto"/>
        <w:bottom w:val="none" w:sz="0" w:space="0" w:color="auto"/>
        <w:right w:val="none" w:sz="0" w:space="0" w:color="auto"/>
      </w:divBdr>
    </w:div>
    <w:div w:id="313067471">
      <w:marLeft w:val="0"/>
      <w:marRight w:val="0"/>
      <w:marTop w:val="0"/>
      <w:marBottom w:val="0"/>
      <w:divBdr>
        <w:top w:val="none" w:sz="0" w:space="0" w:color="auto"/>
        <w:left w:val="none" w:sz="0" w:space="0" w:color="auto"/>
        <w:bottom w:val="none" w:sz="0" w:space="0" w:color="auto"/>
        <w:right w:val="none" w:sz="0" w:space="0" w:color="auto"/>
      </w:divBdr>
      <w:divsChild>
        <w:div w:id="313067467">
          <w:marLeft w:val="0"/>
          <w:marRight w:val="0"/>
          <w:marTop w:val="0"/>
          <w:marBottom w:val="0"/>
          <w:divBdr>
            <w:top w:val="none" w:sz="0" w:space="0" w:color="auto"/>
            <w:left w:val="none" w:sz="0" w:space="0" w:color="auto"/>
            <w:bottom w:val="none" w:sz="0" w:space="0" w:color="auto"/>
            <w:right w:val="none" w:sz="0" w:space="0" w:color="auto"/>
          </w:divBdr>
          <w:divsChild>
            <w:div w:id="313067470">
              <w:marLeft w:val="0"/>
              <w:marRight w:val="0"/>
              <w:marTop w:val="0"/>
              <w:marBottom w:val="0"/>
              <w:divBdr>
                <w:top w:val="none" w:sz="0" w:space="0" w:color="auto"/>
                <w:left w:val="none" w:sz="0" w:space="0" w:color="auto"/>
                <w:bottom w:val="none" w:sz="0" w:space="0" w:color="auto"/>
                <w:right w:val="none" w:sz="0" w:space="0" w:color="auto"/>
              </w:divBdr>
              <w:divsChild>
                <w:div w:id="3130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67472">
      <w:marLeft w:val="0"/>
      <w:marRight w:val="0"/>
      <w:marTop w:val="0"/>
      <w:marBottom w:val="0"/>
      <w:divBdr>
        <w:top w:val="none" w:sz="0" w:space="0" w:color="auto"/>
        <w:left w:val="none" w:sz="0" w:space="0" w:color="auto"/>
        <w:bottom w:val="none" w:sz="0" w:space="0" w:color="auto"/>
        <w:right w:val="none" w:sz="0" w:space="0" w:color="auto"/>
      </w:divBdr>
    </w:div>
    <w:div w:id="313067473">
      <w:marLeft w:val="0"/>
      <w:marRight w:val="0"/>
      <w:marTop w:val="0"/>
      <w:marBottom w:val="0"/>
      <w:divBdr>
        <w:top w:val="none" w:sz="0" w:space="0" w:color="auto"/>
        <w:left w:val="none" w:sz="0" w:space="0" w:color="auto"/>
        <w:bottom w:val="none" w:sz="0" w:space="0" w:color="auto"/>
        <w:right w:val="none" w:sz="0" w:space="0" w:color="auto"/>
      </w:divBdr>
    </w:div>
    <w:div w:id="313067474">
      <w:marLeft w:val="0"/>
      <w:marRight w:val="0"/>
      <w:marTop w:val="0"/>
      <w:marBottom w:val="0"/>
      <w:divBdr>
        <w:top w:val="none" w:sz="0" w:space="0" w:color="auto"/>
        <w:left w:val="none" w:sz="0" w:space="0" w:color="auto"/>
        <w:bottom w:val="none" w:sz="0" w:space="0" w:color="auto"/>
        <w:right w:val="none" w:sz="0" w:space="0" w:color="auto"/>
      </w:divBdr>
    </w:div>
    <w:div w:id="667749232">
      <w:bodyDiv w:val="1"/>
      <w:marLeft w:val="0"/>
      <w:marRight w:val="0"/>
      <w:marTop w:val="0"/>
      <w:marBottom w:val="0"/>
      <w:divBdr>
        <w:top w:val="none" w:sz="0" w:space="0" w:color="auto"/>
        <w:left w:val="none" w:sz="0" w:space="0" w:color="auto"/>
        <w:bottom w:val="none" w:sz="0" w:space="0" w:color="auto"/>
        <w:right w:val="none" w:sz="0" w:space="0" w:color="auto"/>
      </w:divBdr>
    </w:div>
    <w:div w:id="1087657048">
      <w:bodyDiv w:val="1"/>
      <w:marLeft w:val="0"/>
      <w:marRight w:val="0"/>
      <w:marTop w:val="0"/>
      <w:marBottom w:val="0"/>
      <w:divBdr>
        <w:top w:val="none" w:sz="0" w:space="0" w:color="auto"/>
        <w:left w:val="none" w:sz="0" w:space="0" w:color="auto"/>
        <w:bottom w:val="none" w:sz="0" w:space="0" w:color="auto"/>
        <w:right w:val="none" w:sz="0" w:space="0" w:color="auto"/>
      </w:divBdr>
    </w:div>
    <w:div w:id="1503007954">
      <w:bodyDiv w:val="1"/>
      <w:marLeft w:val="0"/>
      <w:marRight w:val="0"/>
      <w:marTop w:val="0"/>
      <w:marBottom w:val="0"/>
      <w:divBdr>
        <w:top w:val="none" w:sz="0" w:space="0" w:color="auto"/>
        <w:left w:val="none" w:sz="0" w:space="0" w:color="auto"/>
        <w:bottom w:val="none" w:sz="0" w:space="0" w:color="auto"/>
        <w:right w:val="none" w:sz="0" w:space="0" w:color="auto"/>
      </w:divBdr>
    </w:div>
    <w:div w:id="1689329398">
      <w:bodyDiv w:val="1"/>
      <w:marLeft w:val="0"/>
      <w:marRight w:val="0"/>
      <w:marTop w:val="0"/>
      <w:marBottom w:val="0"/>
      <w:divBdr>
        <w:top w:val="none" w:sz="0" w:space="0" w:color="auto"/>
        <w:left w:val="none" w:sz="0" w:space="0" w:color="auto"/>
        <w:bottom w:val="none" w:sz="0" w:space="0" w:color="auto"/>
        <w:right w:val="none" w:sz="0" w:space="0" w:color="auto"/>
      </w:divBdr>
    </w:div>
    <w:div w:id="2034843851">
      <w:bodyDiv w:val="1"/>
      <w:marLeft w:val="0"/>
      <w:marRight w:val="0"/>
      <w:marTop w:val="0"/>
      <w:marBottom w:val="0"/>
      <w:divBdr>
        <w:top w:val="none" w:sz="0" w:space="0" w:color="auto"/>
        <w:left w:val="none" w:sz="0" w:space="0" w:color="auto"/>
        <w:bottom w:val="none" w:sz="0" w:space="0" w:color="auto"/>
        <w:right w:val="none" w:sz="0" w:space="0" w:color="auto"/>
      </w:divBdr>
    </w:div>
    <w:div w:id="204224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tnso@tokelau.org.n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tnso@tokelau.org.nz"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tnso@tokelau.org.nz"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E76F1-ADF3-4FF0-82B0-09B74A001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IT Solutions</Company>
  <LinksUpToDate>false</LinksUpToDate>
  <CharactersWithSpaces>12380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Mafa Mativa</dc:creator>
  <cp:lastModifiedBy>USER</cp:lastModifiedBy>
  <cp:revision>5</cp:revision>
  <cp:lastPrinted>2018-10-22T01:59:00Z</cp:lastPrinted>
  <dcterms:created xsi:type="dcterms:W3CDTF">2018-10-30T00:11:00Z</dcterms:created>
  <dcterms:modified xsi:type="dcterms:W3CDTF">2018-10-30T18:36:00Z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